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ind w:firstLine="361" w:firstLineChars="100"/>
        <w:jc w:val="center"/>
        <w:rPr>
          <w:rFonts w:hint="eastAsia" w:ascii="宋体" w:hAnsi="宋体"/>
          <w:b/>
          <w:color w:val="000000"/>
          <w:sz w:val="36"/>
          <w:szCs w:val="36"/>
        </w:rPr>
      </w:pPr>
      <w:r>
        <w:rPr>
          <w:rFonts w:hint="eastAsia" w:ascii="宋体" w:hAnsi="宋体"/>
          <w:b/>
          <w:color w:val="000000"/>
          <w:sz w:val="36"/>
          <w:szCs w:val="36"/>
        </w:rPr>
        <w:t>报价单</w:t>
      </w:r>
    </w:p>
    <w:p>
      <w:pPr>
        <w:pStyle w:val="2"/>
        <w:ind w:left="0" w:leftChars="0"/>
        <w:rPr>
          <w:rFonts w:hint="eastAsia"/>
        </w:rPr>
      </w:pPr>
    </w:p>
    <w:tbl>
      <w:tblPr>
        <w:tblStyle w:val="4"/>
        <w:tblW w:w="8919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2"/>
        <w:gridCol w:w="70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07" w:hRule="atLeast"/>
        </w:trPr>
        <w:tc>
          <w:tcPr>
            <w:tcW w:w="1902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240" w:lineRule="atLeast"/>
              <w:ind w:right="150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项目名称</w:t>
            </w:r>
          </w:p>
        </w:tc>
        <w:tc>
          <w:tcPr>
            <w:tcW w:w="7017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240" w:lineRule="atLeast"/>
              <w:ind w:right="147"/>
              <w:jc w:val="left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  <w:lang w:val="en-US" w:eastAsia="zh-CN"/>
              </w:rPr>
              <w:t>石家庄市动物园修建性详细规划设计服务项目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16" w:hRule="atLeast"/>
        </w:trPr>
        <w:tc>
          <w:tcPr>
            <w:tcW w:w="1902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240" w:lineRule="atLeast"/>
              <w:ind w:right="150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  <w:lang w:eastAsia="zh-CN"/>
              </w:rPr>
              <w:t>服务</w:t>
            </w:r>
            <w:r>
              <w:rPr>
                <w:rFonts w:hint="eastAsia" w:hAnsi="宋体" w:cs="宋体"/>
                <w:sz w:val="24"/>
              </w:rPr>
              <w:t>单位</w:t>
            </w:r>
          </w:p>
        </w:tc>
        <w:tc>
          <w:tcPr>
            <w:tcW w:w="7017" w:type="dxa"/>
            <w:tcBorders>
              <w:bottom w:val="single" w:color="auto" w:sz="4" w:space="0"/>
            </w:tcBorders>
            <w:vAlign w:val="center"/>
          </w:tcPr>
          <w:p>
            <w:pPr>
              <w:pStyle w:val="3"/>
              <w:spacing w:line="240" w:lineRule="atLeast"/>
              <w:ind w:right="150"/>
              <w:jc w:val="left"/>
              <w:rPr>
                <w:rFonts w:hint="eastAsia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9" w:hRule="atLeast"/>
        </w:trPr>
        <w:tc>
          <w:tcPr>
            <w:tcW w:w="1902" w:type="dxa"/>
            <w:vAlign w:val="center"/>
          </w:tcPr>
          <w:p>
            <w:pPr>
              <w:pStyle w:val="3"/>
              <w:spacing w:line="240" w:lineRule="atLeast"/>
              <w:ind w:right="-53"/>
              <w:jc w:val="center"/>
              <w:rPr>
                <w:rFonts w:hint="eastAsia" w:hAnsi="宋体" w:cs="宋体"/>
                <w:sz w:val="24"/>
                <w:lang w:val="en-US" w:eastAsia="zh-CN"/>
              </w:rPr>
            </w:pPr>
            <w:r>
              <w:rPr>
                <w:rFonts w:hint="eastAsia" w:hAnsi="宋体" w:cs="宋体"/>
                <w:sz w:val="24"/>
              </w:rPr>
              <w:t>折扣</w:t>
            </w:r>
            <w:r>
              <w:rPr>
                <w:rFonts w:hint="eastAsia" w:hAnsi="宋体" w:cs="宋体"/>
                <w:sz w:val="24"/>
                <w:lang w:eastAsia="zh-CN"/>
              </w:rPr>
              <w:t>率及</w:t>
            </w:r>
            <w:r>
              <w:rPr>
                <w:rFonts w:hint="eastAsia" w:hAnsi="宋体" w:cs="宋体"/>
                <w:sz w:val="24"/>
                <w:lang w:val="en-US" w:eastAsia="zh-CN"/>
              </w:rPr>
              <w:t>报价</w:t>
            </w:r>
          </w:p>
          <w:p>
            <w:pPr>
              <w:pStyle w:val="3"/>
              <w:spacing w:line="240" w:lineRule="atLeast"/>
              <w:ind w:right="-53"/>
              <w:jc w:val="center"/>
              <w:rPr>
                <w:rFonts w:hint="default" w:hAnsi="宋体" w:cs="宋体"/>
                <w:sz w:val="24"/>
                <w:lang w:val="en-US" w:eastAsia="zh-CN"/>
              </w:rPr>
            </w:pPr>
            <w:r>
              <w:rPr>
                <w:rFonts w:hint="eastAsia" w:hAnsi="宋体" w:cs="宋体"/>
                <w:sz w:val="24"/>
                <w:lang w:val="en-US" w:eastAsia="zh-CN"/>
              </w:rPr>
              <w:t>（万元）</w:t>
            </w:r>
          </w:p>
        </w:tc>
        <w:tc>
          <w:tcPr>
            <w:tcW w:w="7017" w:type="dxa"/>
            <w:tcBorders>
              <w:top w:val="single" w:color="auto" w:sz="4" w:space="0"/>
            </w:tcBorders>
            <w:vAlign w:val="center"/>
          </w:tcPr>
          <w:p>
            <w:pPr>
              <w:pStyle w:val="3"/>
              <w:spacing w:line="240" w:lineRule="atLeast"/>
              <w:ind w:right="-53"/>
              <w:jc w:val="left"/>
              <w:rPr>
                <w:rFonts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16" w:hRule="atLeast"/>
        </w:trPr>
        <w:tc>
          <w:tcPr>
            <w:tcW w:w="1902" w:type="dxa"/>
            <w:tcBorders>
              <w:top w:val="single" w:color="auto" w:sz="4" w:space="0"/>
            </w:tcBorders>
            <w:vAlign w:val="center"/>
          </w:tcPr>
          <w:p>
            <w:pPr>
              <w:pStyle w:val="3"/>
              <w:spacing w:line="240" w:lineRule="atLeast"/>
              <w:ind w:right="-53"/>
              <w:jc w:val="center"/>
              <w:rPr>
                <w:rFonts w:hint="eastAsia" w:hAnsi="宋体" w:eastAsia="宋体" w:cs="宋体"/>
                <w:sz w:val="24"/>
                <w:lang w:eastAsia="zh-CN"/>
              </w:rPr>
            </w:pPr>
            <w:r>
              <w:rPr>
                <w:rFonts w:hint="eastAsia" w:hAnsi="宋体" w:cs="宋体"/>
                <w:sz w:val="24"/>
                <w:lang w:eastAsia="zh-CN"/>
              </w:rPr>
              <w:t>服务范围</w:t>
            </w:r>
          </w:p>
        </w:tc>
        <w:tc>
          <w:tcPr>
            <w:tcW w:w="7017" w:type="dxa"/>
            <w:tcBorders>
              <w:top w:val="single" w:color="auto" w:sz="4" w:space="0"/>
            </w:tcBorders>
            <w:vAlign w:val="center"/>
          </w:tcPr>
          <w:p>
            <w:pPr>
              <w:pStyle w:val="3"/>
              <w:spacing w:line="240" w:lineRule="atLeast"/>
              <w:ind w:right="150"/>
              <w:jc w:val="left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  <w:lang w:val="en-US" w:eastAsia="zh-CN"/>
              </w:rPr>
              <w:t>面积约221.7公顷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30" w:hRule="atLeast"/>
        </w:trPr>
        <w:tc>
          <w:tcPr>
            <w:tcW w:w="1902" w:type="dxa"/>
            <w:vAlign w:val="center"/>
          </w:tcPr>
          <w:p>
            <w:pPr>
              <w:pStyle w:val="3"/>
              <w:spacing w:line="240" w:lineRule="atLeast"/>
              <w:ind w:left="150" w:right="150"/>
              <w:jc w:val="center"/>
              <w:rPr>
                <w:rFonts w:hint="eastAsia" w:hAnsi="宋体" w:eastAsia="宋体" w:cs="宋体"/>
                <w:sz w:val="24"/>
                <w:lang w:eastAsia="zh-CN"/>
              </w:rPr>
            </w:pPr>
            <w:r>
              <w:rPr>
                <w:rFonts w:hint="eastAsia" w:hAnsi="宋体" w:cs="宋体"/>
                <w:sz w:val="24"/>
              </w:rPr>
              <w:t>服务</w:t>
            </w:r>
            <w:r>
              <w:rPr>
                <w:rFonts w:hint="eastAsia" w:hAnsi="宋体" w:cs="宋体"/>
                <w:sz w:val="24"/>
                <w:lang w:eastAsia="zh-CN"/>
              </w:rPr>
              <w:t>内容</w:t>
            </w:r>
          </w:p>
        </w:tc>
        <w:tc>
          <w:tcPr>
            <w:tcW w:w="7017" w:type="dxa"/>
            <w:vAlign w:val="center"/>
          </w:tcPr>
          <w:p>
            <w:pPr>
              <w:pStyle w:val="3"/>
              <w:spacing w:line="240" w:lineRule="atLeast"/>
              <w:ind w:right="150"/>
              <w:jc w:val="left"/>
              <w:rPr>
                <w:rFonts w:hint="default" w:hAnsi="宋体" w:cs="宋体"/>
                <w:sz w:val="24"/>
                <w:lang w:val="en-US"/>
              </w:rPr>
            </w:pPr>
            <w:r>
              <w:rPr>
                <w:rFonts w:hint="eastAsia" w:hAnsi="宋体" w:cs="宋体"/>
                <w:sz w:val="24"/>
                <w:lang w:val="en-US" w:eastAsia="zh-CN"/>
              </w:rPr>
              <w:t>对全园进行调研分析，明确地形、植被、动物资源及游客需求，合理划分各个动物展区、服务、科普及生态缓冲区；布置各类动物场馆及运动场地；完善游览及后勤交通组织，合理布置市政工程，保障水电供应与污水处理；最终通过技术经济指标核算完善方案，形成兼顾保护、教育、旅游功能的可实施方案，指导动物园科学建设。</w:t>
            </w:r>
            <w:r>
              <w:rPr>
                <w:rFonts w:hint="eastAsia" w:hAnsi="宋体" w:cs="宋体"/>
                <w:sz w:val="24"/>
                <w:highlight w:val="none"/>
                <w:lang w:val="en-US" w:eastAsia="zh-CN"/>
              </w:rPr>
              <w:t>满足相关规划部门报审要求，形成</w:t>
            </w:r>
            <w:r>
              <w:rPr>
                <w:rFonts w:hint="eastAsia" w:hAnsi="宋体" w:cs="宋体"/>
                <w:sz w:val="24"/>
                <w:lang w:val="en-US" w:eastAsia="zh-CN"/>
              </w:rPr>
              <w:t>修建性详细规划报告。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3" w:hRule="atLeast"/>
        </w:trPr>
        <w:tc>
          <w:tcPr>
            <w:tcW w:w="1902" w:type="dxa"/>
            <w:vAlign w:val="center"/>
          </w:tcPr>
          <w:p>
            <w:pPr>
              <w:pStyle w:val="3"/>
              <w:spacing w:line="240" w:lineRule="atLeast"/>
              <w:ind w:left="150" w:right="150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备    注</w:t>
            </w:r>
          </w:p>
        </w:tc>
        <w:tc>
          <w:tcPr>
            <w:tcW w:w="7017" w:type="dxa"/>
            <w:vAlign w:val="center"/>
          </w:tcPr>
          <w:p>
            <w:pPr>
              <w:pStyle w:val="3"/>
              <w:spacing w:line="240" w:lineRule="atLeast"/>
              <w:ind w:left="150" w:right="150"/>
              <w:jc w:val="left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  <w:lang w:val="en-US" w:eastAsia="zh-CN"/>
              </w:rPr>
              <w:t>《城乡规划设计计费指导意见》（2017年修订版）“3.2.4公园、游乐场及其它园林规划”中内容</w:t>
            </w:r>
            <w:bookmarkStart w:id="0" w:name="_GoBack"/>
            <w:bookmarkEnd w:id="0"/>
            <w:r>
              <w:rPr>
                <w:rFonts w:hint="eastAsia" w:hAnsi="宋体" w:cs="宋体"/>
                <w:sz w:val="24"/>
                <w:lang w:val="en-US" w:eastAsia="zh-CN"/>
              </w:rPr>
              <w:t>，每公顷计费单价为8000元。</w:t>
            </w:r>
          </w:p>
        </w:tc>
      </w:tr>
    </w:tbl>
    <w:p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</w:p>
    <w:p>
      <w:pPr>
        <w:rPr>
          <w:rFonts w:hint="default" w:eastAsia="宋体"/>
          <w:sz w:val="28"/>
          <w:szCs w:val="36"/>
          <w:lang w:val="en-US" w:eastAsia="zh-CN"/>
        </w:rPr>
      </w:pPr>
      <w:r>
        <w:rPr>
          <w:rFonts w:hint="eastAsia"/>
          <w:sz w:val="28"/>
          <w:szCs w:val="36"/>
          <w:lang w:eastAsia="zh-CN"/>
        </w:rPr>
        <w:t>报价单位</w:t>
      </w:r>
      <w:r>
        <w:rPr>
          <w:rFonts w:hint="eastAsia"/>
          <w:sz w:val="28"/>
          <w:szCs w:val="36"/>
          <w:lang w:val="en-US" w:eastAsia="zh-CN"/>
        </w:rPr>
        <w:t>联系人：                 联系电话：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5951E7"/>
    <w:rsid w:val="1C5951E7"/>
    <w:rsid w:val="7F3C44BA"/>
    <w:rsid w:val="EB991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widowControl/>
      <w:ind w:left="420" w:leftChars="200"/>
      <w:jc w:val="left"/>
    </w:pPr>
    <w:rPr>
      <w:kern w:val="0"/>
      <w:szCs w:val="22"/>
    </w:rPr>
  </w:style>
  <w:style w:type="paragraph" w:styleId="3">
    <w:name w:val="Plain Text"/>
    <w:basedOn w:val="1"/>
    <w:qFormat/>
    <w:uiPriority w:val="0"/>
    <w:rPr>
      <w:rFonts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Office_11.8.2.10290_F1E327BC-269C-435d-A152-05C5408002CA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2025-10-23T17:44:00Z</dcterms:created>
  <dc:creator>Administrator</dc:creator>
  <cp:lastModifiedBy>uos</cp:lastModifiedBy>
  <cp:lastPrinted>2025-10-27T10:33:00Z</cp:lastPrinted>
  <dcterms:modified xsi:type="dcterms:W3CDTF">2025-10-29T14:43:07Z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2052-11.8.2.10290</vt:lpwstr>
  </property>
  <property fmtid="{D5CDD505-2E9C-101B-9397-08002B2CF9AE}" pid="3" name="ICV">
    <vt:lpwstr>9C24EF9F9FE34D53B2CE7742FAFB24CF</vt:lpwstr>
  </property>
</Properties>
</file>