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286184">
      <w:pPr>
        <w:spacing w:before="120" w:after="240"/>
        <w:jc w:val="center"/>
      </w:pPr>
      <w:r>
        <w:rPr>
          <w:rFonts w:hint="eastAsia" w:eastAsia="黑体"/>
          <w:b/>
          <w:sz w:val="36"/>
          <w:lang w:val="en-US" w:eastAsia="zh-CN"/>
        </w:rPr>
        <w:t>城市水系维护资金（2027年水系沿线垃圾及绿废粉碎点运维服务）报价</w:t>
      </w:r>
      <w:r>
        <w:rPr>
          <w:rFonts w:ascii="Times New Roman" w:hAnsi="Times New Roman" w:eastAsia="黑体"/>
          <w:b/>
          <w:sz w:val="36"/>
        </w:rPr>
        <w:t>清单</w:t>
      </w:r>
    </w:p>
    <w:p w14:paraId="22848DDB">
      <w:pPr>
        <w:keepNext w:val="0"/>
        <w:keepLines w:val="0"/>
        <w:pageBreakBefore w:val="0"/>
        <w:widowControl/>
        <w:kinsoku/>
        <w:wordWrap/>
        <w:overflowPunct/>
        <w:topLinePunct w:val="0"/>
        <w:autoSpaceDE/>
        <w:autoSpaceDN/>
        <w:bidi w:val="0"/>
        <w:adjustRightInd/>
        <w:snapToGrid/>
        <w:spacing w:after="200" w:line="240" w:lineRule="auto"/>
        <w:textAlignment w:val="auto"/>
      </w:pPr>
      <w:r>
        <w:rPr>
          <w:rFonts w:ascii="Times New Roman" w:hAnsi="Times New Roman" w:eastAsia="宋体"/>
          <w:sz w:val="21"/>
        </w:rPr>
        <w:t>注：本清单所列服务项目及服务内容为本次</w:t>
      </w:r>
      <w:r>
        <w:rPr>
          <w:rFonts w:hint="eastAsia"/>
          <w:sz w:val="21"/>
          <w:lang w:val="en-US" w:eastAsia="zh-CN"/>
        </w:rPr>
        <w:t>报价</w:t>
      </w:r>
      <w:r>
        <w:rPr>
          <w:rFonts w:ascii="Times New Roman" w:hAnsi="Times New Roman" w:eastAsia="宋体"/>
          <w:sz w:val="21"/>
        </w:rPr>
        <w:t>拟定的全部内容。报价单位应根据自身实际情况合理报价，报价应包含完成服务所需的一切费用。</w:t>
      </w:r>
    </w:p>
    <w:tbl>
      <w:tblPr>
        <w:tblStyle w:val="33"/>
        <w:tblW w:w="502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2"/>
        <w:gridCol w:w="1475"/>
        <w:gridCol w:w="8615"/>
        <w:gridCol w:w="749"/>
        <w:gridCol w:w="842"/>
        <w:gridCol w:w="1349"/>
        <w:gridCol w:w="1275"/>
      </w:tblGrid>
      <w:tr w14:paraId="7C4FC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224" w:type="pct"/>
            <w:shd w:val="clear" w:color="auto" w:fill="4472C4"/>
            <w:vAlign w:val="center"/>
          </w:tcPr>
          <w:p w14:paraId="09F4CC4D">
            <w:pPr>
              <w:spacing w:after="0" w:line="240" w:lineRule="auto"/>
              <w:jc w:val="center"/>
              <w:rPr>
                <w:color w:val="auto"/>
              </w:rPr>
            </w:pPr>
            <w:r>
              <w:rPr>
                <w:rFonts w:ascii="Times New Roman" w:hAnsi="Times New Roman" w:eastAsia="黑体"/>
                <w:b/>
                <w:color w:val="auto"/>
                <w:sz w:val="21"/>
              </w:rPr>
              <w:t>序号</w:t>
            </w:r>
          </w:p>
        </w:tc>
        <w:tc>
          <w:tcPr>
            <w:tcW w:w="492" w:type="pct"/>
            <w:shd w:val="clear" w:color="auto" w:fill="4472C4"/>
            <w:vAlign w:val="center"/>
          </w:tcPr>
          <w:p w14:paraId="4D138C2C">
            <w:pPr>
              <w:spacing w:after="0" w:line="240" w:lineRule="auto"/>
              <w:jc w:val="center"/>
              <w:rPr>
                <w:color w:val="auto"/>
              </w:rPr>
            </w:pPr>
            <w:r>
              <w:rPr>
                <w:rFonts w:ascii="Times New Roman" w:hAnsi="Times New Roman" w:eastAsia="黑体"/>
                <w:b/>
                <w:color w:val="auto"/>
                <w:sz w:val="21"/>
              </w:rPr>
              <w:t>服务项目</w:t>
            </w:r>
          </w:p>
        </w:tc>
        <w:tc>
          <w:tcPr>
            <w:tcW w:w="2876" w:type="pct"/>
            <w:shd w:val="clear" w:color="auto" w:fill="4472C4"/>
            <w:vAlign w:val="center"/>
          </w:tcPr>
          <w:p w14:paraId="7EE36510">
            <w:pPr>
              <w:spacing w:after="0" w:line="240" w:lineRule="auto"/>
              <w:jc w:val="center"/>
              <w:rPr>
                <w:color w:val="auto"/>
              </w:rPr>
            </w:pPr>
            <w:r>
              <w:rPr>
                <w:rFonts w:ascii="Times New Roman" w:hAnsi="Times New Roman" w:eastAsia="黑体"/>
                <w:b/>
                <w:color w:val="auto"/>
                <w:sz w:val="21"/>
              </w:rPr>
              <w:t>服务内容及要求</w:t>
            </w:r>
          </w:p>
        </w:tc>
        <w:tc>
          <w:tcPr>
            <w:tcW w:w="250" w:type="pct"/>
            <w:shd w:val="clear" w:color="auto" w:fill="4472C4"/>
            <w:vAlign w:val="center"/>
          </w:tcPr>
          <w:p w14:paraId="2FF47E38">
            <w:pPr>
              <w:spacing w:after="0" w:line="240" w:lineRule="auto"/>
              <w:jc w:val="center"/>
              <w:rPr>
                <w:color w:val="auto"/>
              </w:rPr>
            </w:pPr>
            <w:r>
              <w:rPr>
                <w:rFonts w:ascii="Times New Roman" w:hAnsi="Times New Roman" w:eastAsia="黑体"/>
                <w:b/>
                <w:color w:val="auto"/>
                <w:sz w:val="21"/>
              </w:rPr>
              <w:t>单位</w:t>
            </w:r>
          </w:p>
        </w:tc>
        <w:tc>
          <w:tcPr>
            <w:tcW w:w="281" w:type="pct"/>
            <w:shd w:val="clear" w:color="auto" w:fill="4472C4"/>
            <w:vAlign w:val="center"/>
          </w:tcPr>
          <w:p w14:paraId="53EE7229">
            <w:pPr>
              <w:spacing w:after="0" w:line="240" w:lineRule="auto"/>
              <w:jc w:val="center"/>
              <w:rPr>
                <w:color w:val="auto"/>
              </w:rPr>
            </w:pPr>
            <w:r>
              <w:rPr>
                <w:rFonts w:ascii="Times New Roman" w:hAnsi="Times New Roman" w:eastAsia="黑体"/>
                <w:b/>
                <w:color w:val="auto"/>
                <w:sz w:val="21"/>
              </w:rPr>
              <w:t>数量</w:t>
            </w:r>
          </w:p>
        </w:tc>
        <w:tc>
          <w:tcPr>
            <w:tcW w:w="450" w:type="pct"/>
            <w:shd w:val="clear" w:color="auto" w:fill="4472C4"/>
            <w:vAlign w:val="center"/>
          </w:tcPr>
          <w:p w14:paraId="270921A9">
            <w:pPr>
              <w:spacing w:after="0" w:line="240" w:lineRule="auto"/>
              <w:jc w:val="center"/>
              <w:rPr>
                <w:color w:val="auto"/>
              </w:rPr>
            </w:pPr>
            <w:r>
              <w:rPr>
                <w:rFonts w:ascii="Times New Roman" w:hAnsi="Times New Roman" w:eastAsia="黑体"/>
                <w:b/>
                <w:color w:val="auto"/>
                <w:sz w:val="21"/>
              </w:rPr>
              <w:t>单价（元）</w:t>
            </w:r>
          </w:p>
        </w:tc>
        <w:tc>
          <w:tcPr>
            <w:tcW w:w="425" w:type="pct"/>
            <w:shd w:val="clear" w:color="auto" w:fill="4472C4"/>
            <w:vAlign w:val="center"/>
          </w:tcPr>
          <w:p w14:paraId="306B8D0B">
            <w:pPr>
              <w:spacing w:after="0" w:line="240" w:lineRule="auto"/>
              <w:jc w:val="center"/>
              <w:rPr>
                <w:color w:val="auto"/>
              </w:rPr>
            </w:pPr>
            <w:r>
              <w:rPr>
                <w:rFonts w:ascii="Times New Roman" w:hAnsi="Times New Roman" w:eastAsia="黑体"/>
                <w:b/>
                <w:color w:val="auto"/>
                <w:sz w:val="21"/>
              </w:rPr>
              <w:t>总价（元）</w:t>
            </w:r>
          </w:p>
        </w:tc>
      </w:tr>
      <w:tr w14:paraId="07B2D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0" w:hRule="atLeast"/>
          <w:jc w:val="center"/>
        </w:trPr>
        <w:tc>
          <w:tcPr>
            <w:tcW w:w="224" w:type="pct"/>
            <w:vAlign w:val="center"/>
          </w:tcPr>
          <w:p w14:paraId="36999DA6">
            <w:pPr>
              <w:spacing w:after="0" w:line="240" w:lineRule="auto"/>
              <w:jc w:val="both"/>
              <w:rPr>
                <w:color w:val="auto"/>
              </w:rPr>
            </w:pPr>
            <w:r>
              <w:rPr>
                <w:rFonts w:ascii="Times New Roman" w:hAnsi="Times New Roman" w:eastAsia="宋体"/>
                <w:color w:val="auto"/>
                <w:sz w:val="21"/>
              </w:rPr>
              <w:t>1</w:t>
            </w:r>
          </w:p>
        </w:tc>
        <w:tc>
          <w:tcPr>
            <w:tcW w:w="492" w:type="pct"/>
            <w:vAlign w:val="center"/>
          </w:tcPr>
          <w:p w14:paraId="5A401CDA">
            <w:pPr>
              <w:spacing w:after="0" w:line="240" w:lineRule="auto"/>
              <w:jc w:val="left"/>
              <w:rPr>
                <w:color w:val="auto"/>
              </w:rPr>
            </w:pPr>
            <w:r>
              <w:rPr>
                <w:rFonts w:ascii="Times New Roman" w:hAnsi="Times New Roman" w:eastAsia="宋体"/>
                <w:b/>
                <w:color w:val="auto"/>
                <w:sz w:val="21"/>
              </w:rPr>
              <w:t>多功能装载机运维服务</w:t>
            </w:r>
          </w:p>
        </w:tc>
        <w:tc>
          <w:tcPr>
            <w:tcW w:w="2876" w:type="pct"/>
          </w:tcPr>
          <w:p w14:paraId="4DAAC754">
            <w:pPr>
              <w:spacing w:before="20" w:after="20" w:line="300" w:lineRule="exact"/>
              <w:rPr>
                <w:color w:val="auto"/>
              </w:rPr>
            </w:pPr>
            <w:r>
              <w:rPr>
                <w:rFonts w:ascii="Times New Roman" w:hAnsi="Times New Roman" w:eastAsia="黑体"/>
                <w:b/>
                <w:color w:val="auto"/>
                <w:sz w:val="21"/>
              </w:rPr>
              <w:t>一、设备概况</w:t>
            </w:r>
          </w:p>
          <w:p w14:paraId="6F870D5B">
            <w:pPr>
              <w:spacing w:before="20" w:after="20" w:line="300" w:lineRule="exact"/>
              <w:rPr>
                <w:color w:val="auto"/>
              </w:rPr>
            </w:pPr>
            <w:r>
              <w:rPr>
                <w:rFonts w:ascii="Times New Roman" w:hAnsi="Times New Roman" w:eastAsia="宋体"/>
                <w:color w:val="auto"/>
                <w:sz w:val="21"/>
              </w:rPr>
              <w:t>设备名称：多功能装载机</w:t>
            </w:r>
            <w:bookmarkStart w:id="0" w:name="OLE_LINK1"/>
            <w:r>
              <w:rPr>
                <w:rFonts w:ascii="Times New Roman" w:hAnsi="Times New Roman" w:eastAsia="宋体"/>
                <w:color w:val="auto"/>
                <w:sz w:val="21"/>
              </w:rPr>
              <w:t>（</w:t>
            </w:r>
            <w:r>
              <w:rPr>
                <w:rFonts w:hint="eastAsia"/>
                <w:color w:val="auto"/>
                <w:sz w:val="21"/>
                <w:lang w:eastAsia="zh-CN"/>
              </w:rPr>
              <w:t>采购人</w:t>
            </w:r>
            <w:r>
              <w:rPr>
                <w:rFonts w:ascii="Times New Roman" w:hAnsi="Times New Roman" w:eastAsia="宋体"/>
                <w:color w:val="auto"/>
                <w:sz w:val="21"/>
              </w:rPr>
              <w:t>自有设备）</w:t>
            </w:r>
            <w:bookmarkEnd w:id="0"/>
            <w:r>
              <w:rPr>
                <w:rFonts w:ascii="Times New Roman" w:hAnsi="Times New Roman" w:eastAsia="宋体"/>
                <w:color w:val="auto"/>
                <w:sz w:val="21"/>
              </w:rPr>
              <w:t>；</w:t>
            </w:r>
          </w:p>
          <w:p w14:paraId="68386D98">
            <w:pPr>
              <w:spacing w:before="20" w:after="20" w:line="300" w:lineRule="exact"/>
              <w:rPr>
                <w:color w:val="auto"/>
              </w:rPr>
            </w:pPr>
            <w:r>
              <w:rPr>
                <w:rFonts w:ascii="Times New Roman" w:hAnsi="Times New Roman" w:eastAsia="宋体"/>
                <w:color w:val="auto"/>
                <w:sz w:val="21"/>
              </w:rPr>
              <w:t>数量：4台；</w:t>
            </w:r>
          </w:p>
          <w:p w14:paraId="371FB451">
            <w:pPr>
              <w:spacing w:before="20" w:after="20" w:line="300" w:lineRule="exact"/>
              <w:rPr>
                <w:color w:val="auto"/>
              </w:rPr>
            </w:pPr>
            <w:r>
              <w:rPr>
                <w:rFonts w:ascii="Times New Roman" w:hAnsi="Times New Roman" w:eastAsia="宋体"/>
                <w:color w:val="auto"/>
                <w:sz w:val="21"/>
              </w:rPr>
              <w:t>主要规格参数：</w:t>
            </w:r>
          </w:p>
          <w:p w14:paraId="153290A5">
            <w:pPr>
              <w:spacing w:before="20" w:after="20" w:line="300" w:lineRule="exact"/>
              <w:rPr>
                <w:color w:val="auto"/>
              </w:rPr>
            </w:pPr>
            <w:r>
              <w:rPr>
                <w:rFonts w:ascii="Times New Roman" w:hAnsi="Times New Roman" w:eastAsia="宋体"/>
                <w:color w:val="auto"/>
                <w:sz w:val="21"/>
              </w:rPr>
              <w:t>1.排放标准：国四及以上；</w:t>
            </w:r>
          </w:p>
          <w:p w14:paraId="5EBE88B7">
            <w:pPr>
              <w:spacing w:before="20" w:after="20" w:line="300" w:lineRule="exact"/>
              <w:rPr>
                <w:color w:val="auto"/>
              </w:rPr>
            </w:pPr>
            <w:r>
              <w:rPr>
                <w:rFonts w:ascii="Times New Roman" w:hAnsi="Times New Roman" w:eastAsia="宋体"/>
                <w:color w:val="auto"/>
                <w:sz w:val="21"/>
              </w:rPr>
              <w:t>2.额定功率：</w:t>
            </w:r>
            <w:r>
              <w:rPr>
                <w:rFonts w:hint="eastAsia"/>
                <w:color w:val="auto"/>
                <w:sz w:val="21"/>
                <w:lang w:val="en-US" w:eastAsia="zh-CN"/>
              </w:rPr>
              <w:t>约</w:t>
            </w:r>
            <w:r>
              <w:rPr>
                <w:rFonts w:ascii="Times New Roman" w:hAnsi="Times New Roman" w:eastAsia="宋体"/>
                <w:color w:val="auto"/>
                <w:sz w:val="21"/>
              </w:rPr>
              <w:t>81kW；</w:t>
            </w:r>
          </w:p>
          <w:p w14:paraId="0A73CBD5">
            <w:pPr>
              <w:spacing w:before="20" w:after="20" w:line="300" w:lineRule="exact"/>
              <w:rPr>
                <w:color w:val="auto"/>
              </w:rPr>
            </w:pPr>
            <w:r>
              <w:rPr>
                <w:rFonts w:ascii="Times New Roman" w:hAnsi="Times New Roman" w:eastAsia="宋体"/>
                <w:color w:val="auto"/>
                <w:sz w:val="21"/>
              </w:rPr>
              <w:t>3.卸载高度：</w:t>
            </w:r>
            <w:r>
              <w:rPr>
                <w:rFonts w:hint="eastAsia" w:asciiTheme="minorHAnsi" w:eastAsiaTheme="minorEastAsia"/>
                <w:color w:val="auto"/>
                <w:sz w:val="21"/>
                <w:lang w:val="en-US" w:eastAsia="zh-CN"/>
              </w:rPr>
              <w:t>约</w:t>
            </w:r>
            <w:r>
              <w:rPr>
                <w:rFonts w:ascii="Times New Roman" w:hAnsi="Times New Roman" w:eastAsia="宋体"/>
                <w:color w:val="auto"/>
                <w:sz w:val="21"/>
              </w:rPr>
              <w:t>4000mm；</w:t>
            </w:r>
            <w:bookmarkStart w:id="1" w:name="_GoBack"/>
            <w:bookmarkEnd w:id="1"/>
          </w:p>
          <w:p w14:paraId="33078A53">
            <w:pPr>
              <w:spacing w:before="20" w:after="20" w:line="300" w:lineRule="exact"/>
              <w:rPr>
                <w:color w:val="auto"/>
              </w:rPr>
            </w:pPr>
            <w:r>
              <w:rPr>
                <w:rFonts w:ascii="Times New Roman" w:hAnsi="Times New Roman" w:eastAsia="宋体"/>
                <w:color w:val="auto"/>
                <w:sz w:val="21"/>
              </w:rPr>
              <w:t>4.属具：上四下五抓头、四合一铲斗各一具；</w:t>
            </w:r>
          </w:p>
          <w:p w14:paraId="1ECD5C8F">
            <w:pPr>
              <w:spacing w:before="20" w:after="20" w:line="300" w:lineRule="exact"/>
              <w:rPr>
                <w:color w:val="auto"/>
              </w:rPr>
            </w:pPr>
            <w:r>
              <w:rPr>
                <w:rFonts w:ascii="Times New Roman" w:hAnsi="Times New Roman" w:eastAsia="宋体"/>
                <w:color w:val="auto"/>
                <w:sz w:val="21"/>
              </w:rPr>
              <w:t>5.额定载量：约2000kg；</w:t>
            </w:r>
          </w:p>
          <w:p w14:paraId="13D45FEE">
            <w:pPr>
              <w:spacing w:before="20" w:after="20" w:line="300" w:lineRule="exact"/>
              <w:rPr>
                <w:color w:val="auto"/>
              </w:rPr>
            </w:pPr>
            <w:r>
              <w:rPr>
                <w:rFonts w:ascii="Times New Roman" w:hAnsi="Times New Roman" w:eastAsia="宋体"/>
                <w:color w:val="auto"/>
                <w:sz w:val="21"/>
              </w:rPr>
              <w:t>6.整机重量：</w:t>
            </w:r>
            <w:r>
              <w:rPr>
                <w:rFonts w:hint="eastAsia"/>
                <w:color w:val="auto"/>
                <w:sz w:val="21"/>
                <w:lang w:val="en-US" w:eastAsia="zh-CN"/>
              </w:rPr>
              <w:t>约5</w:t>
            </w:r>
            <w:r>
              <w:rPr>
                <w:rFonts w:ascii="Times New Roman" w:hAnsi="Times New Roman" w:eastAsia="宋体"/>
                <w:color w:val="auto"/>
                <w:sz w:val="21"/>
              </w:rPr>
              <w:t>000kg。</w:t>
            </w:r>
          </w:p>
          <w:p w14:paraId="64F493C2">
            <w:pPr>
              <w:spacing w:before="20" w:after="20" w:line="300" w:lineRule="exact"/>
              <w:rPr>
                <w:color w:val="auto"/>
              </w:rPr>
            </w:pPr>
            <w:r>
              <w:rPr>
                <w:rFonts w:ascii="Times New Roman" w:hAnsi="Times New Roman" w:eastAsia="黑体"/>
                <w:b/>
                <w:color w:val="auto"/>
                <w:sz w:val="21"/>
              </w:rPr>
              <w:t>二、服务内容</w:t>
            </w:r>
          </w:p>
          <w:p w14:paraId="4610B27E">
            <w:pPr>
              <w:spacing w:before="20" w:after="20" w:line="300" w:lineRule="exact"/>
              <w:rPr>
                <w:color w:val="auto"/>
              </w:rPr>
            </w:pPr>
            <w:r>
              <w:rPr>
                <w:rFonts w:ascii="Times New Roman" w:hAnsi="Times New Roman" w:eastAsia="宋体"/>
                <w:color w:val="auto"/>
                <w:sz w:val="21"/>
              </w:rPr>
              <w:t>多功能装载机设备维护保养综合服务，包括：</w:t>
            </w:r>
          </w:p>
          <w:p w14:paraId="2FC96C87">
            <w:pPr>
              <w:spacing w:before="20" w:after="20" w:line="300" w:lineRule="exact"/>
              <w:rPr>
                <w:color w:val="auto"/>
              </w:rPr>
            </w:pPr>
            <w:r>
              <w:rPr>
                <w:rFonts w:ascii="Times New Roman" w:hAnsi="Times New Roman" w:eastAsia="宋体"/>
                <w:color w:val="auto"/>
                <w:sz w:val="21"/>
              </w:rPr>
              <w:t>1.机械日常维保：包括油液与液位检查、泄漏检查、轮胎与紧固检查、润滑点保养等内容；</w:t>
            </w:r>
          </w:p>
          <w:p w14:paraId="7DC65CAE">
            <w:pPr>
              <w:spacing w:before="20" w:after="20" w:line="300" w:lineRule="exact"/>
              <w:rPr>
                <w:color w:val="auto"/>
              </w:rPr>
            </w:pPr>
            <w:r>
              <w:rPr>
                <w:rFonts w:ascii="Times New Roman" w:hAnsi="Times New Roman" w:eastAsia="宋体"/>
                <w:color w:val="auto"/>
                <w:sz w:val="21"/>
              </w:rPr>
              <w:t>2.故障检修：包括设备故障诊断与排除、清洁作业（含清除铲斗及发动机舱、散热器表面的泥土与杂物，保持散热系统畅通等）、复查（再次检查有无新增泄漏或异响，紧固松动螺栓等）；</w:t>
            </w:r>
          </w:p>
          <w:p w14:paraId="131170F2">
            <w:pPr>
              <w:spacing w:before="20" w:after="20" w:line="300" w:lineRule="exact"/>
              <w:rPr>
                <w:color w:val="auto"/>
              </w:rPr>
            </w:pPr>
            <w:r>
              <w:rPr>
                <w:rFonts w:ascii="Times New Roman" w:hAnsi="Times New Roman" w:eastAsia="宋体"/>
                <w:color w:val="auto"/>
                <w:sz w:val="21"/>
              </w:rPr>
              <w:t>3.定期保养：包括更换前后桥齿轮油、更换液压系统工作油并清洗油箱滤油器、清洗检查制动加力器并更换制动液、更换液压油箱回油滤芯及柴油箱滤油器等；</w:t>
            </w:r>
          </w:p>
          <w:p w14:paraId="033EA59B">
            <w:pPr>
              <w:spacing w:before="20" w:after="20" w:line="300" w:lineRule="exact"/>
              <w:rPr>
                <w:color w:val="auto"/>
              </w:rPr>
            </w:pPr>
            <w:r>
              <w:rPr>
                <w:rFonts w:ascii="Times New Roman" w:hAnsi="Times New Roman" w:eastAsia="宋体"/>
                <w:color w:val="auto"/>
                <w:sz w:val="21"/>
              </w:rPr>
              <w:t>4.燃油加注保障服务：</w:t>
            </w:r>
            <w:r>
              <w:rPr>
                <w:rFonts w:hint="eastAsia"/>
                <w:color w:val="auto"/>
                <w:sz w:val="21"/>
                <w:lang w:eastAsia="zh-CN"/>
              </w:rPr>
              <w:t>供应商</w:t>
            </w:r>
            <w:r>
              <w:rPr>
                <w:rFonts w:ascii="Times New Roman" w:hAnsi="Times New Roman" w:eastAsia="宋体"/>
                <w:color w:val="auto"/>
                <w:sz w:val="21"/>
              </w:rPr>
              <w:t>根据采购人作业计划、维保调试及现场作业的用油需求，提供国VI标准柴油的按需配送及现场加注服务。</w:t>
            </w:r>
            <w:r>
              <w:rPr>
                <w:rFonts w:hint="eastAsia"/>
                <w:color w:val="auto"/>
                <w:sz w:val="21"/>
                <w:lang w:eastAsia="zh-CN"/>
              </w:rPr>
              <w:t>供应商</w:t>
            </w:r>
            <w:r>
              <w:rPr>
                <w:rFonts w:ascii="Times New Roman" w:hAnsi="Times New Roman" w:eastAsia="宋体"/>
                <w:color w:val="auto"/>
                <w:sz w:val="21"/>
              </w:rPr>
              <w:t>负责加注全过程的安全、环保及质量责任。服务内容包括但不限于：用油需求响应与配送、现场加注、计量核验、单据归档、质量备查、应急供油保障等配套工作。服务用量包括柴油、机油，每日作业工时按4小时计，</w:t>
            </w:r>
            <w:r>
              <w:rPr>
                <w:rFonts w:hint="eastAsia"/>
                <w:color w:val="auto"/>
                <w:sz w:val="21"/>
                <w:lang w:eastAsia="zh-CN"/>
              </w:rPr>
              <w:t>供应商</w:t>
            </w:r>
            <w:r>
              <w:rPr>
                <w:rFonts w:ascii="Times New Roman" w:hAnsi="Times New Roman" w:eastAsia="宋体"/>
                <w:color w:val="auto"/>
                <w:sz w:val="21"/>
              </w:rPr>
              <w:t>应自行核算设备每日所需油量并纳入报价；</w:t>
            </w:r>
          </w:p>
          <w:p w14:paraId="0A3E7DA0">
            <w:pPr>
              <w:spacing w:before="20" w:after="20" w:line="300" w:lineRule="exact"/>
              <w:rPr>
                <w:color w:val="auto"/>
              </w:rPr>
            </w:pPr>
            <w:r>
              <w:rPr>
                <w:rFonts w:ascii="Times New Roman" w:hAnsi="Times New Roman" w:eastAsia="宋体"/>
                <w:color w:val="auto"/>
                <w:sz w:val="21"/>
              </w:rPr>
              <w:t>5.</w:t>
            </w:r>
            <w:r>
              <w:rPr>
                <w:rFonts w:hint="eastAsia" w:ascii="Times New Roman" w:hAnsi="Times New Roman" w:eastAsia="宋体"/>
                <w:color w:val="auto"/>
                <w:sz w:val="21"/>
              </w:rPr>
              <w:t>因公园运维管理实际需要，采购人临时交办的与本项服务内容相关的辅助性服务</w:t>
            </w:r>
            <w:r>
              <w:rPr>
                <w:rFonts w:ascii="Times New Roman" w:hAnsi="Times New Roman" w:eastAsia="宋体"/>
                <w:color w:val="auto"/>
                <w:sz w:val="21"/>
              </w:rPr>
              <w:t>。</w:t>
            </w:r>
          </w:p>
        </w:tc>
        <w:tc>
          <w:tcPr>
            <w:tcW w:w="250" w:type="pct"/>
            <w:vAlign w:val="center"/>
          </w:tcPr>
          <w:p w14:paraId="0F11FD27">
            <w:pPr>
              <w:spacing w:after="0" w:line="240" w:lineRule="auto"/>
              <w:jc w:val="both"/>
              <w:rPr>
                <w:color w:val="auto"/>
              </w:rPr>
            </w:pPr>
            <w:r>
              <w:rPr>
                <w:rFonts w:ascii="Times New Roman" w:hAnsi="Times New Roman" w:eastAsia="宋体"/>
                <w:color w:val="auto"/>
                <w:sz w:val="21"/>
              </w:rPr>
              <w:t>天</w:t>
            </w:r>
          </w:p>
        </w:tc>
        <w:tc>
          <w:tcPr>
            <w:tcW w:w="281" w:type="pct"/>
            <w:vAlign w:val="center"/>
          </w:tcPr>
          <w:p w14:paraId="2B0834B7">
            <w:pPr>
              <w:spacing w:after="0" w:line="240" w:lineRule="auto"/>
              <w:jc w:val="both"/>
              <w:rPr>
                <w:color w:val="auto"/>
              </w:rPr>
            </w:pPr>
            <w:r>
              <w:rPr>
                <w:rFonts w:ascii="Times New Roman" w:hAnsi="Times New Roman" w:eastAsia="宋体"/>
                <w:color w:val="auto"/>
                <w:sz w:val="21"/>
              </w:rPr>
              <w:t>120</w:t>
            </w:r>
          </w:p>
        </w:tc>
        <w:tc>
          <w:tcPr>
            <w:tcW w:w="450" w:type="pct"/>
            <w:vAlign w:val="center"/>
          </w:tcPr>
          <w:p w14:paraId="080039E2">
            <w:pPr>
              <w:spacing w:after="0" w:line="240" w:lineRule="auto"/>
              <w:jc w:val="both"/>
              <w:rPr>
                <w:color w:val="auto"/>
              </w:rPr>
            </w:pPr>
          </w:p>
        </w:tc>
        <w:tc>
          <w:tcPr>
            <w:tcW w:w="425" w:type="pct"/>
            <w:vAlign w:val="center"/>
          </w:tcPr>
          <w:p w14:paraId="7EE893A4">
            <w:pPr>
              <w:spacing w:after="0" w:line="240" w:lineRule="auto"/>
              <w:jc w:val="both"/>
              <w:rPr>
                <w:color w:val="auto"/>
              </w:rPr>
            </w:pPr>
          </w:p>
        </w:tc>
      </w:tr>
      <w:tr w14:paraId="6F640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 w:type="pct"/>
            <w:vAlign w:val="center"/>
          </w:tcPr>
          <w:p w14:paraId="63A52E9F">
            <w:pPr>
              <w:spacing w:after="0" w:line="240" w:lineRule="auto"/>
              <w:jc w:val="both"/>
              <w:rPr>
                <w:color w:val="auto"/>
              </w:rPr>
            </w:pPr>
            <w:r>
              <w:rPr>
                <w:rFonts w:ascii="Times New Roman" w:hAnsi="Times New Roman" w:eastAsia="宋体"/>
                <w:color w:val="auto"/>
                <w:sz w:val="21"/>
              </w:rPr>
              <w:t>2</w:t>
            </w:r>
          </w:p>
        </w:tc>
        <w:tc>
          <w:tcPr>
            <w:tcW w:w="492" w:type="pct"/>
            <w:vAlign w:val="center"/>
          </w:tcPr>
          <w:p w14:paraId="57E9CB87">
            <w:pPr>
              <w:spacing w:after="0" w:line="240" w:lineRule="auto"/>
              <w:jc w:val="left"/>
              <w:rPr>
                <w:color w:val="auto"/>
              </w:rPr>
            </w:pPr>
            <w:r>
              <w:rPr>
                <w:rFonts w:ascii="Times New Roman" w:hAnsi="Times New Roman" w:eastAsia="宋体"/>
                <w:b/>
                <w:color w:val="auto"/>
                <w:sz w:val="21"/>
              </w:rPr>
              <w:t>粉碎机运行维护</w:t>
            </w:r>
          </w:p>
        </w:tc>
        <w:tc>
          <w:tcPr>
            <w:tcW w:w="2876" w:type="pct"/>
          </w:tcPr>
          <w:p w14:paraId="0E1A173F">
            <w:pPr>
              <w:spacing w:before="20" w:after="20" w:line="300" w:lineRule="exact"/>
              <w:rPr>
                <w:color w:val="auto"/>
              </w:rPr>
            </w:pPr>
            <w:r>
              <w:rPr>
                <w:rFonts w:ascii="Times New Roman" w:hAnsi="Times New Roman" w:eastAsia="黑体"/>
                <w:b/>
                <w:color w:val="auto"/>
                <w:sz w:val="21"/>
              </w:rPr>
              <w:t>一、设备概况</w:t>
            </w:r>
          </w:p>
          <w:p w14:paraId="70FE3CF7">
            <w:pPr>
              <w:spacing w:before="20" w:after="20" w:line="300" w:lineRule="exact"/>
              <w:rPr>
                <w:color w:val="auto"/>
              </w:rPr>
            </w:pPr>
            <w:r>
              <w:rPr>
                <w:rFonts w:ascii="Times New Roman" w:hAnsi="Times New Roman" w:eastAsia="宋体"/>
                <w:color w:val="auto"/>
                <w:sz w:val="21"/>
              </w:rPr>
              <w:t>设备名称：电机版移动式综合破碎机及配套设备（以下简称"粉碎机"）；</w:t>
            </w:r>
          </w:p>
          <w:p w14:paraId="33DC6729">
            <w:pPr>
              <w:spacing w:before="20" w:after="20" w:line="300" w:lineRule="exact"/>
              <w:rPr>
                <w:color w:val="auto"/>
              </w:rPr>
            </w:pPr>
            <w:r>
              <w:rPr>
                <w:rFonts w:ascii="Times New Roman" w:hAnsi="Times New Roman" w:eastAsia="宋体"/>
                <w:color w:val="auto"/>
                <w:sz w:val="21"/>
              </w:rPr>
              <w:t>数量：4台（</w:t>
            </w:r>
            <w:r>
              <w:rPr>
                <w:rFonts w:hint="eastAsia"/>
                <w:color w:val="auto"/>
                <w:sz w:val="21"/>
                <w:lang w:eastAsia="zh-CN"/>
              </w:rPr>
              <w:t>采购人</w:t>
            </w:r>
            <w:r>
              <w:rPr>
                <w:rFonts w:ascii="Times New Roman" w:hAnsi="Times New Roman" w:eastAsia="宋体"/>
                <w:color w:val="auto"/>
                <w:sz w:val="21"/>
              </w:rPr>
              <w:t>自有设备）。</w:t>
            </w:r>
          </w:p>
          <w:p w14:paraId="6E805319">
            <w:pPr>
              <w:spacing w:before="20" w:after="20" w:line="300" w:lineRule="exact"/>
              <w:rPr>
                <w:color w:val="auto"/>
              </w:rPr>
            </w:pPr>
            <w:r>
              <w:rPr>
                <w:rFonts w:ascii="Times New Roman" w:hAnsi="Times New Roman" w:eastAsia="宋体"/>
                <w:color w:val="auto"/>
                <w:sz w:val="21"/>
              </w:rPr>
              <w:t>规格：</w:t>
            </w:r>
          </w:p>
          <w:p w14:paraId="56DC2B12">
            <w:pPr>
              <w:spacing w:before="20" w:after="20" w:line="300" w:lineRule="exact"/>
              <w:rPr>
                <w:color w:val="auto"/>
              </w:rPr>
            </w:pPr>
            <w:r>
              <w:rPr>
                <w:rFonts w:ascii="Times New Roman" w:hAnsi="Times New Roman" w:eastAsia="宋体"/>
                <w:color w:val="auto"/>
                <w:sz w:val="21"/>
              </w:rPr>
              <w:t>（1）1台，规格如下：</w:t>
            </w:r>
          </w:p>
          <w:p w14:paraId="6F2E6E57">
            <w:pPr>
              <w:spacing w:before="20" w:after="20" w:line="300" w:lineRule="exact"/>
              <w:rPr>
                <w:color w:val="auto"/>
              </w:rPr>
            </w:pPr>
            <w:r>
              <w:rPr>
                <w:rFonts w:ascii="Times New Roman" w:hAnsi="Times New Roman" w:eastAsia="宋体"/>
                <w:color w:val="auto"/>
                <w:sz w:val="21"/>
              </w:rPr>
              <w:t>1.产量：10-13t/h；</w:t>
            </w:r>
          </w:p>
          <w:p w14:paraId="6C524D04">
            <w:pPr>
              <w:spacing w:before="20" w:after="20" w:line="300" w:lineRule="exact"/>
              <w:rPr>
                <w:color w:val="auto"/>
              </w:rPr>
            </w:pPr>
            <w:r>
              <w:rPr>
                <w:rFonts w:ascii="Times New Roman" w:hAnsi="Times New Roman" w:eastAsia="宋体"/>
                <w:color w:val="auto"/>
                <w:sz w:val="21"/>
              </w:rPr>
              <w:t>2.进料口尺寸：进口宽度</w:t>
            </w:r>
            <w:r>
              <w:rPr>
                <w:rFonts w:hint="eastAsia"/>
                <w:color w:val="auto"/>
                <w:sz w:val="21"/>
                <w:lang w:eastAsia="zh-CN"/>
              </w:rPr>
              <w:t>约</w:t>
            </w:r>
            <w:r>
              <w:rPr>
                <w:rFonts w:ascii="Times New Roman" w:hAnsi="Times New Roman" w:eastAsia="宋体"/>
                <w:color w:val="auto"/>
                <w:sz w:val="21"/>
              </w:rPr>
              <w:t>1000mm，进口高度</w:t>
            </w:r>
            <w:r>
              <w:rPr>
                <w:rFonts w:hint="eastAsia"/>
                <w:color w:val="auto"/>
                <w:sz w:val="21"/>
                <w:lang w:eastAsia="zh-CN"/>
              </w:rPr>
              <w:t>约</w:t>
            </w:r>
            <w:r>
              <w:rPr>
                <w:rFonts w:ascii="Times New Roman" w:hAnsi="Times New Roman" w:eastAsia="宋体"/>
                <w:color w:val="auto"/>
                <w:sz w:val="21"/>
              </w:rPr>
              <w:t>500mm，自动升口；</w:t>
            </w:r>
          </w:p>
          <w:p w14:paraId="3846824F">
            <w:pPr>
              <w:spacing w:before="20" w:after="20" w:line="300" w:lineRule="exact"/>
              <w:rPr>
                <w:color w:val="auto"/>
              </w:rPr>
            </w:pPr>
            <w:r>
              <w:rPr>
                <w:rFonts w:ascii="Times New Roman" w:hAnsi="Times New Roman" w:eastAsia="宋体"/>
                <w:color w:val="auto"/>
                <w:sz w:val="21"/>
              </w:rPr>
              <w:t>3.可破碎物料直径：</w:t>
            </w:r>
            <w:r>
              <w:rPr>
                <w:rFonts w:hint="eastAsia"/>
                <w:color w:val="auto"/>
                <w:sz w:val="21"/>
                <w:lang w:eastAsia="zh-CN"/>
              </w:rPr>
              <w:t>约</w:t>
            </w:r>
            <w:r>
              <w:rPr>
                <w:rFonts w:ascii="Times New Roman" w:hAnsi="Times New Roman" w:eastAsia="宋体"/>
                <w:color w:val="auto"/>
                <w:sz w:val="21"/>
              </w:rPr>
              <w:t>30mm；</w:t>
            </w:r>
          </w:p>
          <w:p w14:paraId="48DB183E">
            <w:pPr>
              <w:spacing w:before="20" w:after="20" w:line="300" w:lineRule="exact"/>
              <w:rPr>
                <w:color w:val="auto"/>
              </w:rPr>
            </w:pPr>
            <w:r>
              <w:rPr>
                <w:rFonts w:ascii="Times New Roman" w:hAnsi="Times New Roman" w:eastAsia="宋体"/>
                <w:color w:val="auto"/>
                <w:sz w:val="21"/>
              </w:rPr>
              <w:t>4.出料尺寸：30-40mm；</w:t>
            </w:r>
          </w:p>
          <w:p w14:paraId="66407D08">
            <w:pPr>
              <w:spacing w:before="20" w:after="20" w:line="300" w:lineRule="exact"/>
              <w:rPr>
                <w:color w:val="auto"/>
              </w:rPr>
            </w:pPr>
            <w:r>
              <w:rPr>
                <w:rFonts w:ascii="Times New Roman" w:hAnsi="Times New Roman" w:eastAsia="宋体"/>
                <w:color w:val="auto"/>
                <w:sz w:val="21"/>
              </w:rPr>
              <w:t>5.主电机功率：</w:t>
            </w:r>
            <w:r>
              <w:rPr>
                <w:rFonts w:hint="eastAsia"/>
                <w:color w:val="auto"/>
                <w:sz w:val="21"/>
                <w:lang w:eastAsia="zh-CN"/>
              </w:rPr>
              <w:t>约</w:t>
            </w:r>
            <w:r>
              <w:rPr>
                <w:rFonts w:ascii="Times New Roman" w:hAnsi="Times New Roman" w:eastAsia="宋体"/>
                <w:color w:val="auto"/>
                <w:sz w:val="21"/>
              </w:rPr>
              <w:t>90kW；</w:t>
            </w:r>
          </w:p>
          <w:p w14:paraId="1D896557">
            <w:pPr>
              <w:spacing w:before="20" w:after="20" w:line="300" w:lineRule="exact"/>
              <w:rPr>
                <w:color w:val="auto"/>
              </w:rPr>
            </w:pPr>
            <w:r>
              <w:rPr>
                <w:rFonts w:ascii="Times New Roman" w:hAnsi="Times New Roman" w:eastAsia="宋体"/>
                <w:color w:val="auto"/>
                <w:sz w:val="21"/>
              </w:rPr>
              <w:t>6.输电机功率：</w:t>
            </w:r>
            <w:r>
              <w:rPr>
                <w:rFonts w:hint="eastAsia"/>
                <w:color w:val="auto"/>
                <w:sz w:val="21"/>
                <w:lang w:eastAsia="zh-CN"/>
              </w:rPr>
              <w:t>约</w:t>
            </w:r>
            <w:r>
              <w:rPr>
                <w:rFonts w:ascii="Times New Roman" w:hAnsi="Times New Roman" w:eastAsia="宋体"/>
                <w:color w:val="auto"/>
                <w:sz w:val="21"/>
              </w:rPr>
              <w:t>5.5kW；</w:t>
            </w:r>
          </w:p>
          <w:p w14:paraId="6B07B23A">
            <w:pPr>
              <w:spacing w:before="20" w:after="20" w:line="300" w:lineRule="exact"/>
              <w:rPr>
                <w:color w:val="auto"/>
              </w:rPr>
            </w:pPr>
            <w:r>
              <w:rPr>
                <w:rFonts w:ascii="Times New Roman" w:hAnsi="Times New Roman" w:eastAsia="宋体"/>
                <w:color w:val="auto"/>
                <w:sz w:val="21"/>
              </w:rPr>
              <w:t>7.辅电机功率：</w:t>
            </w:r>
            <w:r>
              <w:rPr>
                <w:rFonts w:hint="eastAsia"/>
                <w:color w:val="auto"/>
                <w:sz w:val="21"/>
                <w:lang w:eastAsia="zh-CN"/>
              </w:rPr>
              <w:t>约</w:t>
            </w:r>
            <w:r>
              <w:rPr>
                <w:rFonts w:ascii="Times New Roman" w:hAnsi="Times New Roman" w:eastAsia="宋体"/>
                <w:color w:val="auto"/>
                <w:sz w:val="21"/>
              </w:rPr>
              <w:t>7.5kW；</w:t>
            </w:r>
          </w:p>
          <w:p w14:paraId="6C2F9F3F">
            <w:pPr>
              <w:spacing w:before="20" w:after="20" w:line="300" w:lineRule="exact"/>
              <w:rPr>
                <w:color w:val="auto"/>
              </w:rPr>
            </w:pPr>
            <w:r>
              <w:rPr>
                <w:rFonts w:ascii="Times New Roman" w:hAnsi="Times New Roman" w:eastAsia="宋体"/>
                <w:color w:val="auto"/>
                <w:sz w:val="21"/>
              </w:rPr>
              <w:t>8.液压油泵电机功率：</w:t>
            </w:r>
            <w:r>
              <w:rPr>
                <w:rFonts w:hint="eastAsia"/>
                <w:color w:val="auto"/>
                <w:sz w:val="21"/>
                <w:lang w:eastAsia="zh-CN"/>
              </w:rPr>
              <w:t>约</w:t>
            </w:r>
            <w:r>
              <w:rPr>
                <w:rFonts w:ascii="Times New Roman" w:hAnsi="Times New Roman" w:eastAsia="宋体"/>
                <w:color w:val="auto"/>
                <w:sz w:val="21"/>
              </w:rPr>
              <w:t>4kW。</w:t>
            </w:r>
          </w:p>
          <w:p w14:paraId="62541F87">
            <w:pPr>
              <w:spacing w:before="20" w:after="20" w:line="300" w:lineRule="exact"/>
              <w:rPr>
                <w:color w:val="auto"/>
              </w:rPr>
            </w:pPr>
            <w:r>
              <w:rPr>
                <w:rFonts w:ascii="Times New Roman" w:hAnsi="Times New Roman" w:eastAsia="宋体"/>
                <w:color w:val="auto"/>
                <w:sz w:val="21"/>
              </w:rPr>
              <w:t>（2）3台，规格如下：</w:t>
            </w:r>
          </w:p>
          <w:p w14:paraId="339C54BF">
            <w:pPr>
              <w:spacing w:before="20" w:after="20" w:line="300" w:lineRule="exact"/>
              <w:rPr>
                <w:color w:val="auto"/>
              </w:rPr>
            </w:pPr>
            <w:r>
              <w:rPr>
                <w:rFonts w:ascii="Times New Roman" w:hAnsi="Times New Roman" w:eastAsia="宋体"/>
                <w:color w:val="auto"/>
                <w:sz w:val="21"/>
              </w:rPr>
              <w:t>1.产量：5-8t/h；</w:t>
            </w:r>
          </w:p>
          <w:p w14:paraId="5919A91C">
            <w:pPr>
              <w:spacing w:before="20" w:after="20" w:line="300" w:lineRule="exact"/>
              <w:rPr>
                <w:color w:val="auto"/>
              </w:rPr>
            </w:pPr>
            <w:r>
              <w:rPr>
                <w:rFonts w:ascii="Times New Roman" w:hAnsi="Times New Roman" w:eastAsia="宋体"/>
                <w:color w:val="auto"/>
                <w:sz w:val="21"/>
              </w:rPr>
              <w:t>2.进料口尺寸：进口宽度</w:t>
            </w:r>
            <w:r>
              <w:rPr>
                <w:rFonts w:hint="eastAsia"/>
                <w:color w:val="auto"/>
                <w:sz w:val="21"/>
                <w:lang w:eastAsia="zh-CN"/>
              </w:rPr>
              <w:t>约</w:t>
            </w:r>
            <w:r>
              <w:rPr>
                <w:rFonts w:ascii="Times New Roman" w:hAnsi="Times New Roman" w:eastAsia="宋体"/>
                <w:color w:val="auto"/>
                <w:sz w:val="21"/>
              </w:rPr>
              <w:t>540mm，进口高度</w:t>
            </w:r>
            <w:r>
              <w:rPr>
                <w:rFonts w:hint="eastAsia"/>
                <w:color w:val="auto"/>
                <w:sz w:val="21"/>
                <w:lang w:eastAsia="zh-CN"/>
              </w:rPr>
              <w:t>约</w:t>
            </w:r>
            <w:r>
              <w:rPr>
                <w:rFonts w:ascii="Times New Roman" w:hAnsi="Times New Roman" w:eastAsia="宋体"/>
                <w:color w:val="auto"/>
                <w:sz w:val="21"/>
              </w:rPr>
              <w:t>270mm，自动升口；</w:t>
            </w:r>
          </w:p>
          <w:p w14:paraId="1AE9E39B">
            <w:pPr>
              <w:spacing w:before="20" w:after="20" w:line="300" w:lineRule="exact"/>
              <w:rPr>
                <w:color w:val="auto"/>
              </w:rPr>
            </w:pPr>
            <w:r>
              <w:rPr>
                <w:rFonts w:ascii="Times New Roman" w:hAnsi="Times New Roman" w:eastAsia="宋体"/>
                <w:color w:val="auto"/>
                <w:sz w:val="21"/>
              </w:rPr>
              <w:t>3.可破碎物料直径：</w:t>
            </w:r>
            <w:r>
              <w:rPr>
                <w:rFonts w:hint="eastAsia"/>
                <w:color w:val="auto"/>
                <w:sz w:val="21"/>
                <w:lang w:eastAsia="zh-CN"/>
              </w:rPr>
              <w:t>约</w:t>
            </w:r>
            <w:r>
              <w:rPr>
                <w:rFonts w:ascii="Times New Roman" w:hAnsi="Times New Roman" w:eastAsia="宋体"/>
                <w:color w:val="auto"/>
                <w:sz w:val="21"/>
              </w:rPr>
              <w:t>00mm；</w:t>
            </w:r>
          </w:p>
          <w:p w14:paraId="25FF0810">
            <w:pPr>
              <w:spacing w:before="20" w:after="20" w:line="300" w:lineRule="exact"/>
              <w:rPr>
                <w:color w:val="auto"/>
              </w:rPr>
            </w:pPr>
            <w:r>
              <w:rPr>
                <w:rFonts w:ascii="Times New Roman" w:hAnsi="Times New Roman" w:eastAsia="宋体"/>
                <w:color w:val="auto"/>
                <w:sz w:val="21"/>
              </w:rPr>
              <w:t>4.出料木片尺寸：25-35mm；</w:t>
            </w:r>
          </w:p>
          <w:p w14:paraId="224F875C">
            <w:pPr>
              <w:spacing w:before="20" w:after="20" w:line="300" w:lineRule="exact"/>
              <w:rPr>
                <w:color w:val="auto"/>
              </w:rPr>
            </w:pPr>
            <w:r>
              <w:rPr>
                <w:rFonts w:ascii="Times New Roman" w:hAnsi="Times New Roman" w:eastAsia="宋体"/>
                <w:color w:val="auto"/>
                <w:sz w:val="21"/>
              </w:rPr>
              <w:t>5.主电机功率：</w:t>
            </w:r>
            <w:r>
              <w:rPr>
                <w:rFonts w:hint="eastAsia"/>
                <w:color w:val="auto"/>
                <w:sz w:val="21"/>
                <w:lang w:eastAsia="zh-CN"/>
              </w:rPr>
              <w:t>约</w:t>
            </w:r>
            <w:r>
              <w:rPr>
                <w:rFonts w:ascii="Times New Roman" w:hAnsi="Times New Roman" w:eastAsia="宋体"/>
                <w:color w:val="auto"/>
                <w:sz w:val="21"/>
              </w:rPr>
              <w:t>55kW；</w:t>
            </w:r>
          </w:p>
          <w:p w14:paraId="7CDE49AD">
            <w:pPr>
              <w:spacing w:before="20" w:after="20" w:line="300" w:lineRule="exact"/>
              <w:rPr>
                <w:color w:val="auto"/>
              </w:rPr>
            </w:pPr>
            <w:r>
              <w:rPr>
                <w:rFonts w:ascii="Times New Roman" w:hAnsi="Times New Roman" w:eastAsia="宋体"/>
                <w:color w:val="auto"/>
                <w:sz w:val="21"/>
              </w:rPr>
              <w:t>6.输电机功率：</w:t>
            </w:r>
            <w:r>
              <w:rPr>
                <w:rFonts w:hint="eastAsia"/>
                <w:color w:val="auto"/>
                <w:sz w:val="21"/>
                <w:lang w:eastAsia="zh-CN"/>
              </w:rPr>
              <w:t>约</w:t>
            </w:r>
            <w:r>
              <w:rPr>
                <w:rFonts w:ascii="Times New Roman" w:hAnsi="Times New Roman" w:eastAsia="宋体"/>
                <w:color w:val="auto"/>
                <w:sz w:val="21"/>
              </w:rPr>
              <w:t>3kW；</w:t>
            </w:r>
          </w:p>
          <w:p w14:paraId="422E8B7A">
            <w:pPr>
              <w:spacing w:before="20" w:after="20" w:line="300" w:lineRule="exact"/>
              <w:rPr>
                <w:color w:val="auto"/>
              </w:rPr>
            </w:pPr>
            <w:r>
              <w:rPr>
                <w:rFonts w:ascii="Times New Roman" w:hAnsi="Times New Roman" w:eastAsia="宋体"/>
                <w:color w:val="auto"/>
                <w:sz w:val="21"/>
              </w:rPr>
              <w:t>7.辅电机功率：</w:t>
            </w:r>
            <w:r>
              <w:rPr>
                <w:rFonts w:hint="eastAsia"/>
                <w:color w:val="auto"/>
                <w:sz w:val="21"/>
                <w:lang w:eastAsia="zh-CN"/>
              </w:rPr>
              <w:t>约</w:t>
            </w:r>
            <w:r>
              <w:rPr>
                <w:rFonts w:ascii="Times New Roman" w:hAnsi="Times New Roman" w:eastAsia="宋体"/>
                <w:color w:val="auto"/>
                <w:sz w:val="21"/>
              </w:rPr>
              <w:t>5.5kW；</w:t>
            </w:r>
          </w:p>
          <w:p w14:paraId="38C9AE61">
            <w:pPr>
              <w:spacing w:before="20" w:after="20" w:line="300" w:lineRule="exact"/>
              <w:rPr>
                <w:color w:val="auto"/>
              </w:rPr>
            </w:pPr>
            <w:r>
              <w:rPr>
                <w:rFonts w:ascii="Times New Roman" w:hAnsi="Times New Roman" w:eastAsia="宋体"/>
                <w:color w:val="auto"/>
                <w:sz w:val="21"/>
              </w:rPr>
              <w:t>8.液压油泵电机功率：</w:t>
            </w:r>
            <w:r>
              <w:rPr>
                <w:rFonts w:hint="eastAsia"/>
                <w:color w:val="auto"/>
                <w:sz w:val="21"/>
                <w:lang w:eastAsia="zh-CN"/>
              </w:rPr>
              <w:t>约</w:t>
            </w:r>
            <w:r>
              <w:rPr>
                <w:rFonts w:ascii="Times New Roman" w:hAnsi="Times New Roman" w:eastAsia="宋体"/>
                <w:color w:val="auto"/>
                <w:sz w:val="21"/>
              </w:rPr>
              <w:t>3kW。</w:t>
            </w:r>
          </w:p>
          <w:p w14:paraId="48D4DEE8">
            <w:pPr>
              <w:spacing w:before="20" w:after="20" w:line="300" w:lineRule="exact"/>
              <w:rPr>
                <w:color w:val="auto"/>
              </w:rPr>
            </w:pPr>
            <w:r>
              <w:rPr>
                <w:rFonts w:ascii="Times New Roman" w:hAnsi="Times New Roman" w:eastAsia="黑体"/>
                <w:b/>
                <w:color w:val="auto"/>
                <w:sz w:val="21"/>
              </w:rPr>
              <w:t>二、服务内容</w:t>
            </w:r>
          </w:p>
          <w:p w14:paraId="764436E4">
            <w:pPr>
              <w:spacing w:before="20" w:after="20" w:line="300" w:lineRule="exact"/>
              <w:rPr>
                <w:color w:val="auto"/>
              </w:rPr>
            </w:pPr>
            <w:r>
              <w:rPr>
                <w:rFonts w:ascii="Times New Roman" w:hAnsi="Times New Roman" w:eastAsia="宋体"/>
                <w:color w:val="auto"/>
                <w:sz w:val="21"/>
              </w:rPr>
              <w:t>粉碎机设备维护保养综合服务，包括：</w:t>
            </w:r>
          </w:p>
          <w:p w14:paraId="71D0C8F8">
            <w:pPr>
              <w:spacing w:before="20" w:after="20" w:line="300" w:lineRule="exact"/>
              <w:rPr>
                <w:color w:val="auto"/>
              </w:rPr>
            </w:pPr>
            <w:r>
              <w:rPr>
                <w:rFonts w:ascii="Times New Roman" w:hAnsi="Times New Roman" w:eastAsia="宋体"/>
                <w:color w:val="auto"/>
                <w:sz w:val="21"/>
              </w:rPr>
              <w:t>1.机械日常维保：包括飞刀、底刀、螺栓、液压系统、动力系统、传动系统、电控系统等调试保养；</w:t>
            </w:r>
          </w:p>
          <w:p w14:paraId="5DF31FFE">
            <w:pPr>
              <w:spacing w:before="20" w:after="20" w:line="300" w:lineRule="exact"/>
              <w:rPr>
                <w:color w:val="auto"/>
              </w:rPr>
            </w:pPr>
            <w:r>
              <w:rPr>
                <w:rFonts w:ascii="Times New Roman" w:hAnsi="Times New Roman" w:eastAsia="宋体"/>
                <w:color w:val="auto"/>
                <w:sz w:val="21"/>
              </w:rPr>
              <w:t>2.故障检修：包括紧固件检查（检查定刀与动刀固定螺丝、筛网架螺丝有无松动）、电气接头检查（检查电控箱内电气元件接头有无松动）、筛网清理（清理筛网网孔堵塞，确保透筛性良好）、链条传动保养（链条传动部位涂抹专用润滑油并调整松紧度）</w:t>
            </w:r>
            <w:r>
              <w:rPr>
                <w:rFonts w:hint="eastAsia"/>
                <w:color w:val="auto"/>
                <w:sz w:val="21"/>
                <w:lang w:val="en-US" w:eastAsia="zh-CN"/>
              </w:rPr>
              <w:t>等</w:t>
            </w:r>
            <w:r>
              <w:rPr>
                <w:rFonts w:ascii="Times New Roman" w:hAnsi="Times New Roman" w:eastAsia="宋体"/>
                <w:color w:val="auto"/>
                <w:sz w:val="21"/>
              </w:rPr>
              <w:t>；</w:t>
            </w:r>
          </w:p>
          <w:p w14:paraId="5D8DD3CC">
            <w:pPr>
              <w:spacing w:before="20" w:after="20" w:line="300" w:lineRule="exact"/>
              <w:rPr>
                <w:color w:val="auto"/>
              </w:rPr>
            </w:pPr>
            <w:r>
              <w:rPr>
                <w:rFonts w:ascii="Times New Roman" w:hAnsi="Times New Roman" w:eastAsia="宋体"/>
                <w:color w:val="auto"/>
                <w:sz w:val="21"/>
              </w:rPr>
              <w:t>3.定期保养：包括电机与电气保养（清理控制柜内粉尘，测试急停按钮和过载保护功能的有效性，检查电源线、插头有无磨损或老化）、皮带张力检查（对于皮带传动的机型，检查皮带张力，按压下沉量以10-15mm为宜，出现裂纹或老化立即更换，同时检查皮带轮/联轴器的同轴度）、刀片状态检查（检查刀片锋利度，出现钝化、缺口或磨损时应及时打磨或更换；更换刀片时，固定螺丝和垫片必须全部换新，并在螺纹上涂抹螺纹固定剂以防松动）、减速机润滑油检查（检查油位和油质，必要时补充或更换）；</w:t>
            </w:r>
          </w:p>
          <w:p w14:paraId="03AD2530">
            <w:pPr>
              <w:spacing w:before="20" w:after="20" w:line="300" w:lineRule="exact"/>
              <w:rPr>
                <w:color w:val="auto"/>
              </w:rPr>
            </w:pPr>
            <w:r>
              <w:rPr>
                <w:rFonts w:ascii="Times New Roman" w:hAnsi="Times New Roman" w:eastAsia="宋体"/>
                <w:color w:val="auto"/>
                <w:sz w:val="21"/>
              </w:rPr>
              <w:t>4.</w:t>
            </w:r>
            <w:r>
              <w:rPr>
                <w:rFonts w:hint="eastAsia" w:ascii="Times New Roman" w:hAnsi="Times New Roman" w:eastAsia="宋体"/>
                <w:color w:val="auto"/>
                <w:sz w:val="21"/>
              </w:rPr>
              <w:t>因公园运维管理实际需要，采购人临时交办的与本项服务内容相关的辅助性服务</w:t>
            </w:r>
            <w:r>
              <w:rPr>
                <w:rFonts w:ascii="Times New Roman" w:hAnsi="Times New Roman" w:eastAsia="宋体"/>
                <w:color w:val="auto"/>
                <w:sz w:val="21"/>
              </w:rPr>
              <w:t>。</w:t>
            </w:r>
          </w:p>
        </w:tc>
        <w:tc>
          <w:tcPr>
            <w:tcW w:w="250" w:type="pct"/>
            <w:vAlign w:val="center"/>
          </w:tcPr>
          <w:p w14:paraId="0D9F85E5">
            <w:pPr>
              <w:spacing w:after="0" w:line="240" w:lineRule="auto"/>
              <w:jc w:val="both"/>
              <w:rPr>
                <w:color w:val="auto"/>
              </w:rPr>
            </w:pPr>
            <w:r>
              <w:rPr>
                <w:rFonts w:ascii="Times New Roman" w:hAnsi="Times New Roman" w:eastAsia="宋体"/>
                <w:color w:val="auto"/>
                <w:sz w:val="21"/>
              </w:rPr>
              <w:t>天</w:t>
            </w:r>
          </w:p>
        </w:tc>
        <w:tc>
          <w:tcPr>
            <w:tcW w:w="281" w:type="pct"/>
            <w:vAlign w:val="center"/>
          </w:tcPr>
          <w:p w14:paraId="32BA54B9">
            <w:pPr>
              <w:spacing w:after="0" w:line="240" w:lineRule="auto"/>
              <w:jc w:val="both"/>
              <w:rPr>
                <w:color w:val="auto"/>
              </w:rPr>
            </w:pPr>
            <w:r>
              <w:rPr>
                <w:rFonts w:ascii="Times New Roman" w:hAnsi="Times New Roman" w:eastAsia="宋体"/>
                <w:color w:val="auto"/>
                <w:sz w:val="21"/>
              </w:rPr>
              <w:t>120</w:t>
            </w:r>
          </w:p>
        </w:tc>
        <w:tc>
          <w:tcPr>
            <w:tcW w:w="450" w:type="pct"/>
            <w:vAlign w:val="center"/>
          </w:tcPr>
          <w:p w14:paraId="3D7A6192">
            <w:pPr>
              <w:spacing w:after="0" w:line="240" w:lineRule="auto"/>
              <w:jc w:val="both"/>
              <w:rPr>
                <w:rFonts w:hint="eastAsia" w:eastAsia="宋体"/>
                <w:color w:val="auto"/>
                <w:lang w:val="en-US" w:eastAsia="zh-CN"/>
              </w:rPr>
            </w:pPr>
          </w:p>
        </w:tc>
        <w:tc>
          <w:tcPr>
            <w:tcW w:w="425" w:type="pct"/>
            <w:vAlign w:val="center"/>
          </w:tcPr>
          <w:p w14:paraId="3891096F">
            <w:pPr>
              <w:spacing w:after="0" w:line="240" w:lineRule="auto"/>
              <w:jc w:val="both"/>
              <w:rPr>
                <w:color w:val="auto"/>
              </w:rPr>
            </w:pPr>
          </w:p>
        </w:tc>
      </w:tr>
      <w:tr w14:paraId="1B2FE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 w:type="pct"/>
            <w:vAlign w:val="center"/>
          </w:tcPr>
          <w:p w14:paraId="23C5F69F">
            <w:pPr>
              <w:spacing w:after="0" w:line="240" w:lineRule="auto"/>
              <w:jc w:val="both"/>
              <w:rPr>
                <w:color w:val="auto"/>
              </w:rPr>
            </w:pPr>
            <w:r>
              <w:rPr>
                <w:rFonts w:ascii="Times New Roman" w:hAnsi="Times New Roman" w:eastAsia="宋体"/>
                <w:color w:val="auto"/>
                <w:sz w:val="21"/>
              </w:rPr>
              <w:t>3</w:t>
            </w:r>
          </w:p>
        </w:tc>
        <w:tc>
          <w:tcPr>
            <w:tcW w:w="492" w:type="pct"/>
            <w:vAlign w:val="center"/>
          </w:tcPr>
          <w:p w14:paraId="7812C551">
            <w:pPr>
              <w:spacing w:after="0" w:line="240" w:lineRule="auto"/>
              <w:jc w:val="left"/>
              <w:rPr>
                <w:color w:val="auto"/>
              </w:rPr>
            </w:pPr>
            <w:r>
              <w:rPr>
                <w:rFonts w:hint="eastAsia"/>
                <w:b/>
                <w:color w:val="auto"/>
                <w:sz w:val="21"/>
                <w:lang w:val="en-US" w:eastAsia="zh-CN"/>
              </w:rPr>
              <w:t>绿废</w:t>
            </w:r>
            <w:r>
              <w:rPr>
                <w:rFonts w:ascii="Times New Roman" w:hAnsi="Times New Roman" w:eastAsia="宋体"/>
                <w:b/>
                <w:color w:val="auto"/>
                <w:sz w:val="21"/>
              </w:rPr>
              <w:t>运输服务</w:t>
            </w:r>
          </w:p>
        </w:tc>
        <w:tc>
          <w:tcPr>
            <w:tcW w:w="2876" w:type="pct"/>
          </w:tcPr>
          <w:p w14:paraId="1B8E0180">
            <w:pPr>
              <w:spacing w:before="20" w:after="20" w:line="300" w:lineRule="exact"/>
              <w:rPr>
                <w:color w:val="auto"/>
              </w:rPr>
            </w:pPr>
            <w:r>
              <w:rPr>
                <w:rFonts w:ascii="Times New Roman" w:hAnsi="Times New Roman" w:eastAsia="黑体"/>
                <w:b/>
                <w:color w:val="auto"/>
                <w:sz w:val="21"/>
              </w:rPr>
              <w:t>一、服务内容</w:t>
            </w:r>
          </w:p>
          <w:p w14:paraId="6EC5AF28">
            <w:pPr>
              <w:spacing w:before="20" w:after="20" w:line="300" w:lineRule="exact"/>
              <w:rPr>
                <w:rFonts w:hint="default" w:eastAsia="宋体"/>
                <w:color w:val="auto"/>
                <w:lang w:val="en-US" w:eastAsia="zh-CN"/>
              </w:rPr>
            </w:pPr>
            <w:r>
              <w:rPr>
                <w:rFonts w:hint="eastAsia"/>
                <w:color w:val="auto"/>
                <w:sz w:val="21"/>
                <w:lang w:val="en-US" w:eastAsia="zh-CN"/>
              </w:rPr>
              <w:t>1、</w:t>
            </w:r>
            <w:r>
              <w:rPr>
                <w:rFonts w:ascii="Times New Roman" w:hAnsi="Times New Roman" w:eastAsia="宋体"/>
                <w:color w:val="auto"/>
                <w:sz w:val="21"/>
              </w:rPr>
              <w:t>为石家庄市城市水系园林中心管辖范围内的沿线区域及公园提供</w:t>
            </w:r>
            <w:r>
              <w:rPr>
                <w:rFonts w:hint="eastAsia"/>
                <w:color w:val="auto"/>
                <w:sz w:val="21"/>
                <w:lang w:val="en-US" w:eastAsia="zh-CN"/>
              </w:rPr>
              <w:t>绿废</w:t>
            </w:r>
            <w:r>
              <w:rPr>
                <w:rFonts w:ascii="Times New Roman" w:hAnsi="Times New Roman" w:eastAsia="宋体"/>
                <w:color w:val="auto"/>
                <w:sz w:val="21"/>
              </w:rPr>
              <w:t>运输服务。</w:t>
            </w:r>
            <w:r>
              <w:rPr>
                <w:rFonts w:ascii="Times New Roman" w:hAnsi="Times New Roman" w:eastAsia="宋体"/>
                <w:color w:val="auto"/>
                <w:sz w:val="21"/>
              </w:rPr>
              <w:br w:type="textWrapping"/>
            </w:r>
            <w:r>
              <w:rPr>
                <w:rFonts w:hint="eastAsia"/>
                <w:color w:val="auto"/>
                <w:sz w:val="21"/>
                <w:lang w:val="en-US" w:eastAsia="zh-CN"/>
              </w:rPr>
              <w:t>2、</w:t>
            </w:r>
            <w:r>
              <w:rPr>
                <w:rFonts w:hint="eastAsia" w:ascii="Times New Roman" w:hAnsi="Times New Roman" w:eastAsia="宋体"/>
                <w:color w:val="auto"/>
                <w:sz w:val="21"/>
              </w:rPr>
              <w:t>因公园运维管理实际需要，采购人临时交办的与本项服务内容相关的辅助性服务</w:t>
            </w:r>
            <w:r>
              <w:rPr>
                <w:rFonts w:hint="eastAsia"/>
                <w:color w:val="auto"/>
                <w:sz w:val="21"/>
                <w:lang w:val="en-US" w:eastAsia="zh-CN"/>
              </w:rPr>
              <w:t>。</w:t>
            </w:r>
          </w:p>
          <w:p w14:paraId="0F8CA00E">
            <w:pPr>
              <w:spacing w:before="20" w:after="20" w:line="300" w:lineRule="exact"/>
              <w:rPr>
                <w:color w:val="auto"/>
              </w:rPr>
            </w:pPr>
            <w:r>
              <w:rPr>
                <w:rFonts w:ascii="Times New Roman" w:hAnsi="Times New Roman" w:eastAsia="黑体"/>
                <w:b/>
                <w:color w:val="auto"/>
                <w:sz w:val="21"/>
              </w:rPr>
              <w:t>二、服务范围</w:t>
            </w:r>
          </w:p>
          <w:p w14:paraId="6C1F3124">
            <w:pPr>
              <w:spacing w:before="20" w:after="20" w:line="300" w:lineRule="exact"/>
              <w:rPr>
                <w:color w:val="auto"/>
              </w:rPr>
            </w:pPr>
            <w:r>
              <w:rPr>
                <w:rFonts w:ascii="Times New Roman" w:hAnsi="Times New Roman" w:eastAsia="宋体"/>
                <w:color w:val="auto"/>
                <w:sz w:val="21"/>
              </w:rPr>
              <w:t>太平河沿线、环城水系沿线、民心河沿线、秀水公园、卧虎山公园、世纪公园、胜利公园、天山公园等区域，将沿线绿废垃圾运送至采购人指定的粉碎点。</w:t>
            </w:r>
          </w:p>
          <w:p w14:paraId="4348BA47">
            <w:pPr>
              <w:spacing w:before="20" w:after="20" w:line="300" w:lineRule="exact"/>
              <w:rPr>
                <w:color w:val="auto"/>
              </w:rPr>
            </w:pPr>
            <w:r>
              <w:rPr>
                <w:rFonts w:ascii="Times New Roman" w:hAnsi="Times New Roman" w:eastAsia="黑体"/>
                <w:b/>
                <w:color w:val="auto"/>
                <w:sz w:val="21"/>
              </w:rPr>
              <w:t>三、服务要求</w:t>
            </w:r>
          </w:p>
          <w:p w14:paraId="4169B7CB">
            <w:pPr>
              <w:spacing w:before="20" w:after="20" w:line="300" w:lineRule="exact"/>
              <w:rPr>
                <w:color w:val="auto"/>
                <w:highlight w:val="none"/>
              </w:rPr>
            </w:pPr>
            <w:r>
              <w:rPr>
                <w:rFonts w:ascii="Times New Roman" w:hAnsi="Times New Roman" w:eastAsia="宋体"/>
                <w:color w:val="auto"/>
                <w:sz w:val="21"/>
              </w:rPr>
              <w:t>1.运力与车型适配：供应商须配备与各点位绿废产生量及道路条件相匹配的运输车辆。运输车辆具备后向倾倒式自卸功能，且卸车操作可在车外完成，以便在粉碎点快速卸料，减少滞留时间。</w:t>
            </w:r>
            <w:r>
              <w:rPr>
                <w:rFonts w:ascii="Times New Roman" w:hAnsi="Times New Roman" w:eastAsia="宋体"/>
                <w:color w:val="auto"/>
                <w:sz w:val="21"/>
                <w:highlight w:val="none"/>
              </w:rPr>
              <w:t>供应商须至少配备</w:t>
            </w:r>
            <w:r>
              <w:rPr>
                <w:rFonts w:hint="eastAsia"/>
                <w:color w:val="auto"/>
                <w:sz w:val="21"/>
                <w:highlight w:val="none"/>
                <w:lang w:val="en-US" w:eastAsia="zh-CN"/>
              </w:rPr>
              <w:t>3</w:t>
            </w:r>
            <w:r>
              <w:rPr>
                <w:rFonts w:ascii="Times New Roman" w:hAnsi="Times New Roman" w:eastAsia="宋体"/>
                <w:color w:val="auto"/>
                <w:sz w:val="21"/>
                <w:highlight w:val="none"/>
              </w:rPr>
              <w:t>辆运输车辆满足日常运输需求。</w:t>
            </w:r>
          </w:p>
          <w:p w14:paraId="7B1810AF">
            <w:pPr>
              <w:spacing w:before="20" w:after="20" w:line="300" w:lineRule="exact"/>
              <w:rPr>
                <w:color w:val="auto"/>
              </w:rPr>
            </w:pPr>
            <w:r>
              <w:rPr>
                <w:rFonts w:ascii="Times New Roman" w:hAnsi="Times New Roman" w:eastAsia="宋体"/>
                <w:color w:val="auto"/>
                <w:sz w:val="21"/>
              </w:rPr>
              <w:t>2.车辆合规性与车况：所有运输车辆须满足GB18565-2016《道路运输车辆综合性能要求和检验方法》的基本要求，证照齐全、保险有效。车辆须为密闭式或配备可靠覆盖装置的车型，车厢无破损、无渗漏，确保运输全程不发生枝叶飘散、泥水滴漏或扬尘外溢。</w:t>
            </w:r>
          </w:p>
          <w:p w14:paraId="1545F5A2">
            <w:pPr>
              <w:spacing w:before="20" w:after="20" w:line="300" w:lineRule="exact"/>
              <w:rPr>
                <w:color w:val="auto"/>
              </w:rPr>
            </w:pPr>
            <w:r>
              <w:rPr>
                <w:rFonts w:ascii="Times New Roman" w:hAnsi="Times New Roman" w:eastAsia="宋体"/>
                <w:color w:val="auto"/>
                <w:sz w:val="21"/>
              </w:rPr>
              <w:t>3.备用运力保障：在车辆故障、保养或临时增量时，</w:t>
            </w:r>
            <w:r>
              <w:rPr>
                <w:rFonts w:hint="eastAsia"/>
                <w:color w:val="auto"/>
                <w:sz w:val="21"/>
                <w:lang w:val="en-US" w:eastAsia="zh-CN"/>
              </w:rPr>
              <w:t>须</w:t>
            </w:r>
            <w:r>
              <w:rPr>
                <w:rFonts w:ascii="Times New Roman" w:hAnsi="Times New Roman" w:eastAsia="宋体"/>
                <w:color w:val="auto"/>
                <w:sz w:val="21"/>
              </w:rPr>
              <w:t>及时调配备用车辆，不得因运力短缺导致绿废在收集点积压超过规定时限。</w:t>
            </w:r>
          </w:p>
          <w:p w14:paraId="32A1DE96">
            <w:pPr>
              <w:spacing w:before="20" w:after="20" w:line="300" w:lineRule="exact"/>
              <w:rPr>
                <w:color w:val="auto"/>
              </w:rPr>
            </w:pPr>
            <w:r>
              <w:rPr>
                <w:rFonts w:ascii="Times New Roman" w:hAnsi="Times New Roman" w:eastAsia="宋体"/>
                <w:color w:val="auto"/>
                <w:sz w:val="21"/>
              </w:rPr>
              <w:t>4.驾驶与装卸人员：驾驶员须持与车型相符的有效驾驶证，驾龄原则上不低于5年，熟悉石家庄市区及水系沿线道路状况。每车须配备专职或明确的装卸配合人员，负责收集点的装车码放与粉碎点的卸料清理；装卸人员应了解绿废的基本分类（树枝、落叶、水草等不宜过度混装，以免影响后续粉碎效率）。</w:t>
            </w:r>
          </w:p>
          <w:p w14:paraId="3C5C1830">
            <w:pPr>
              <w:spacing w:before="20" w:after="20" w:line="300" w:lineRule="exact"/>
              <w:rPr>
                <w:color w:val="auto"/>
              </w:rPr>
            </w:pPr>
            <w:r>
              <w:rPr>
                <w:rFonts w:ascii="Times New Roman" w:hAnsi="Times New Roman" w:eastAsia="宋体"/>
                <w:color w:val="auto"/>
                <w:sz w:val="21"/>
              </w:rPr>
              <w:t>5.收集响应机制：供应商应建立主动巡查与响应相结合的收集机制，对太平河、民心河、环城水系沿线及各大公园的绿废暂存点，按固定频次主动巡查；遇修剪作业集中期或季节性落叶高峰期，须增加收集频次，确保暂存点不出现长时间堆积或满溢。清运应做到日产日清，收集点地面遗留的散枝、碎叶、泥土须同步清扫干净，保持点位整洁。</w:t>
            </w:r>
          </w:p>
          <w:p w14:paraId="3197E419">
            <w:pPr>
              <w:spacing w:before="20" w:after="20" w:line="300" w:lineRule="exact"/>
              <w:rPr>
                <w:color w:val="auto"/>
              </w:rPr>
            </w:pPr>
            <w:r>
              <w:rPr>
                <w:rFonts w:ascii="Times New Roman" w:hAnsi="Times New Roman" w:eastAsia="宋体"/>
                <w:color w:val="auto"/>
                <w:sz w:val="21"/>
              </w:rPr>
              <w:t>6.安全责任归属：供应商须对装车、运输、卸料全过程中的作业安全负全部责任。运输途中因捆扎不牢、覆盖不严导致的遗撒、扬尘，或因车辆状况、驾驶行为引发的交通事故，其责任及费用均由供应商承担。供应商应为作业人员购买相应的意外伤害保险，并定期开展安全培训。</w:t>
            </w:r>
          </w:p>
          <w:p w14:paraId="658DC469">
            <w:pPr>
              <w:spacing w:before="20" w:after="20" w:line="300" w:lineRule="exact"/>
              <w:rPr>
                <w:color w:val="auto"/>
              </w:rPr>
            </w:pPr>
            <w:r>
              <w:rPr>
                <w:rFonts w:ascii="Times New Roman" w:hAnsi="Times New Roman" w:eastAsia="宋体"/>
                <w:color w:val="auto"/>
                <w:sz w:val="21"/>
              </w:rPr>
              <w:t>7.环保合规底线：严禁将绿废垃圾运往非指定地点倾倒、填埋或焚烧。</w:t>
            </w:r>
            <w:r>
              <w:rPr>
                <w:rFonts w:ascii="Times New Roman" w:hAnsi="Times New Roman" w:eastAsia="宋体"/>
                <w:color w:val="auto"/>
                <w:sz w:val="21"/>
                <w:highlight w:val="none"/>
              </w:rPr>
              <w:t>运输车辆须随车携带或能够提供粉碎点签收凭证，作为绿废合规交付的证明</w:t>
            </w:r>
            <w:r>
              <w:rPr>
                <w:rFonts w:ascii="Times New Roman" w:hAnsi="Times New Roman" w:eastAsia="宋体"/>
                <w:color w:val="auto"/>
                <w:sz w:val="21"/>
              </w:rPr>
              <w:t>。对于可能混入的病虫枝叶，应按采购人要求单独收集运输，不得与常规绿废混装，防止有害生物随运输环节扩散。</w:t>
            </w:r>
          </w:p>
        </w:tc>
        <w:tc>
          <w:tcPr>
            <w:tcW w:w="250" w:type="pct"/>
            <w:vAlign w:val="center"/>
          </w:tcPr>
          <w:p w14:paraId="66E04ACC">
            <w:pPr>
              <w:spacing w:after="0" w:line="240" w:lineRule="auto"/>
              <w:jc w:val="both"/>
              <w:rPr>
                <w:color w:val="auto"/>
              </w:rPr>
            </w:pPr>
            <w:r>
              <w:rPr>
                <w:rFonts w:ascii="Times New Roman" w:hAnsi="Times New Roman" w:eastAsia="宋体"/>
                <w:color w:val="auto"/>
                <w:sz w:val="21"/>
              </w:rPr>
              <w:t>天</w:t>
            </w:r>
          </w:p>
        </w:tc>
        <w:tc>
          <w:tcPr>
            <w:tcW w:w="281" w:type="pct"/>
            <w:vAlign w:val="center"/>
          </w:tcPr>
          <w:p w14:paraId="157B757C">
            <w:pPr>
              <w:spacing w:after="0" w:line="240" w:lineRule="auto"/>
              <w:jc w:val="both"/>
              <w:rPr>
                <w:color w:val="auto"/>
              </w:rPr>
            </w:pPr>
            <w:r>
              <w:rPr>
                <w:rFonts w:ascii="Times New Roman" w:hAnsi="Times New Roman" w:eastAsia="宋体"/>
                <w:color w:val="auto"/>
                <w:sz w:val="21"/>
              </w:rPr>
              <w:t>120</w:t>
            </w:r>
          </w:p>
        </w:tc>
        <w:tc>
          <w:tcPr>
            <w:tcW w:w="450" w:type="pct"/>
            <w:vAlign w:val="center"/>
          </w:tcPr>
          <w:p w14:paraId="3CEABCE0">
            <w:pPr>
              <w:spacing w:after="0" w:line="240" w:lineRule="auto"/>
              <w:jc w:val="both"/>
              <w:rPr>
                <w:color w:val="auto"/>
              </w:rPr>
            </w:pPr>
          </w:p>
        </w:tc>
        <w:tc>
          <w:tcPr>
            <w:tcW w:w="425" w:type="pct"/>
            <w:vAlign w:val="center"/>
          </w:tcPr>
          <w:p w14:paraId="3A2ADC2A">
            <w:pPr>
              <w:spacing w:after="0" w:line="240" w:lineRule="auto"/>
              <w:jc w:val="both"/>
              <w:rPr>
                <w:color w:val="auto"/>
              </w:rPr>
            </w:pPr>
          </w:p>
        </w:tc>
      </w:tr>
      <w:tr w14:paraId="1AE7A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1" w:hRule="atLeast"/>
          <w:jc w:val="center"/>
        </w:trPr>
        <w:tc>
          <w:tcPr>
            <w:tcW w:w="224" w:type="pct"/>
            <w:vAlign w:val="center"/>
          </w:tcPr>
          <w:p w14:paraId="630631BE">
            <w:pPr>
              <w:spacing w:after="0" w:line="240" w:lineRule="auto"/>
              <w:jc w:val="both"/>
              <w:rPr>
                <w:color w:val="auto"/>
              </w:rPr>
            </w:pPr>
            <w:r>
              <w:rPr>
                <w:rFonts w:ascii="Times New Roman" w:hAnsi="Times New Roman" w:eastAsia="宋体"/>
                <w:color w:val="auto"/>
                <w:sz w:val="21"/>
              </w:rPr>
              <w:t>4</w:t>
            </w:r>
          </w:p>
        </w:tc>
        <w:tc>
          <w:tcPr>
            <w:tcW w:w="492" w:type="pct"/>
            <w:vAlign w:val="center"/>
          </w:tcPr>
          <w:p w14:paraId="087468E6">
            <w:pPr>
              <w:spacing w:after="0" w:line="240" w:lineRule="auto"/>
              <w:jc w:val="both"/>
              <w:rPr>
                <w:color w:val="auto"/>
              </w:rPr>
            </w:pPr>
            <w:r>
              <w:rPr>
                <w:rFonts w:ascii="Times New Roman" w:hAnsi="Times New Roman" w:eastAsia="宋体"/>
                <w:b/>
                <w:color w:val="auto"/>
                <w:sz w:val="21"/>
              </w:rPr>
              <w:t>降尘服务</w:t>
            </w:r>
          </w:p>
        </w:tc>
        <w:tc>
          <w:tcPr>
            <w:tcW w:w="2876" w:type="pct"/>
          </w:tcPr>
          <w:p w14:paraId="0651CE37">
            <w:pPr>
              <w:spacing w:before="20" w:after="20" w:line="300" w:lineRule="exact"/>
              <w:rPr>
                <w:color w:val="auto"/>
              </w:rPr>
            </w:pPr>
            <w:r>
              <w:rPr>
                <w:rFonts w:ascii="Times New Roman" w:hAnsi="Times New Roman" w:eastAsia="黑体"/>
                <w:b/>
                <w:color w:val="auto"/>
                <w:sz w:val="21"/>
              </w:rPr>
              <w:t>一、服务内容</w:t>
            </w:r>
          </w:p>
          <w:p w14:paraId="1D196095">
            <w:pPr>
              <w:spacing w:before="20" w:after="20" w:line="300" w:lineRule="exact"/>
              <w:rPr>
                <w:rFonts w:hint="default" w:eastAsia="宋体"/>
                <w:color w:val="auto"/>
                <w:lang w:val="en-US" w:eastAsia="zh-CN"/>
              </w:rPr>
            </w:pPr>
            <w:r>
              <w:rPr>
                <w:rFonts w:hint="eastAsia"/>
                <w:color w:val="auto"/>
                <w:sz w:val="21"/>
                <w:lang w:val="en-US" w:eastAsia="zh-CN"/>
              </w:rPr>
              <w:t>1、</w:t>
            </w:r>
            <w:r>
              <w:rPr>
                <w:rFonts w:ascii="Times New Roman" w:hAnsi="Times New Roman" w:eastAsia="宋体"/>
                <w:color w:val="auto"/>
                <w:sz w:val="21"/>
              </w:rPr>
              <w:t>为粉碎点提供降尘服务。</w:t>
            </w:r>
            <w:r>
              <w:rPr>
                <w:rFonts w:ascii="Times New Roman" w:hAnsi="Times New Roman" w:eastAsia="宋体"/>
                <w:color w:val="auto"/>
                <w:sz w:val="21"/>
              </w:rPr>
              <w:br w:type="textWrapping"/>
            </w:r>
            <w:r>
              <w:rPr>
                <w:rFonts w:hint="eastAsia"/>
                <w:color w:val="auto"/>
                <w:sz w:val="21"/>
                <w:lang w:val="en-US" w:eastAsia="zh-CN"/>
              </w:rPr>
              <w:t>2、</w:t>
            </w:r>
            <w:r>
              <w:rPr>
                <w:rFonts w:hint="eastAsia" w:ascii="Times New Roman" w:hAnsi="Times New Roman" w:eastAsia="宋体"/>
                <w:color w:val="auto"/>
                <w:sz w:val="21"/>
              </w:rPr>
              <w:t>因公园运维管理实际需要，采购人临时交办的与本项服务内容相关的辅助性服务</w:t>
            </w:r>
            <w:r>
              <w:rPr>
                <w:rFonts w:ascii="Times New Roman" w:hAnsi="Times New Roman" w:eastAsia="宋体"/>
                <w:color w:val="auto"/>
                <w:sz w:val="21"/>
              </w:rPr>
              <w:t>。</w:t>
            </w:r>
            <w:r>
              <w:rPr>
                <w:rFonts w:hint="eastAsia"/>
                <w:color w:val="auto"/>
                <w:sz w:val="21"/>
                <w:lang w:val="en-US" w:eastAsia="zh-CN"/>
              </w:rPr>
              <w:t>。</w:t>
            </w:r>
          </w:p>
          <w:p w14:paraId="4ACE189A">
            <w:pPr>
              <w:spacing w:before="20" w:after="20" w:line="300" w:lineRule="exact"/>
              <w:rPr>
                <w:color w:val="auto"/>
              </w:rPr>
            </w:pPr>
            <w:r>
              <w:rPr>
                <w:rFonts w:ascii="Times New Roman" w:hAnsi="Times New Roman" w:eastAsia="黑体"/>
                <w:b/>
                <w:color w:val="auto"/>
                <w:sz w:val="21"/>
              </w:rPr>
              <w:t>二、服务要求</w:t>
            </w:r>
          </w:p>
          <w:p w14:paraId="79FDDB7A">
            <w:pPr>
              <w:spacing w:before="20" w:after="20" w:line="300" w:lineRule="exact"/>
              <w:rPr>
                <w:color w:val="auto"/>
              </w:rPr>
            </w:pPr>
            <w:r>
              <w:rPr>
                <w:rFonts w:ascii="Times New Roman" w:hAnsi="Times New Roman" w:eastAsia="宋体"/>
                <w:color w:val="auto"/>
                <w:sz w:val="21"/>
              </w:rPr>
              <w:t>1.供应商须自行配备喷雾降尘洒水车配合粉碎点降尘作业。供应商须至少配备1辆降尘车辆满足作业需求。</w:t>
            </w:r>
          </w:p>
          <w:p w14:paraId="2A021725">
            <w:pPr>
              <w:spacing w:before="20" w:after="20" w:line="300" w:lineRule="exact"/>
              <w:rPr>
                <w:color w:val="auto"/>
              </w:rPr>
            </w:pPr>
            <w:r>
              <w:rPr>
                <w:rFonts w:ascii="Times New Roman" w:hAnsi="Times New Roman" w:eastAsia="宋体"/>
                <w:color w:val="auto"/>
                <w:sz w:val="21"/>
              </w:rPr>
              <w:t>2.车辆要求：车辆应同时具备低压洒水和高压喷雾两种作业模式，以适应粉碎点不同环节的降尘需要。低压洒水用于粉碎作业区地面湿润和道路降尘，高压喷雾（雾炮或高压喷头）用于粉碎进料口、出料口及物料装卸落差处的空中粉尘压制。车辆应证照齐全、车况良好，排放标准满足石家庄市现行环保准入要求。</w:t>
            </w:r>
          </w:p>
          <w:p w14:paraId="76261D83">
            <w:pPr>
              <w:spacing w:before="20" w:after="20" w:line="300" w:lineRule="exact"/>
              <w:rPr>
                <w:color w:val="auto"/>
              </w:rPr>
            </w:pPr>
            <w:r>
              <w:rPr>
                <w:rFonts w:ascii="Times New Roman" w:hAnsi="Times New Roman" w:eastAsia="宋体"/>
                <w:color w:val="auto"/>
                <w:sz w:val="21"/>
              </w:rPr>
              <w:t>3.粉碎与降尘同步：粉碎作业属于典型的产尘工序。降尘作业的基本模式为"先淋湿、后粉碎，边粉碎边喷雾"：粉碎作业开始前，先对设备周边地面和待粉碎物料进行预湿；粉碎过程中，喷雾装置持续对准产尘点作业，不得出现"设备在粉碎、降尘已停止"的空档。</w:t>
            </w:r>
          </w:p>
          <w:p w14:paraId="65104C4B">
            <w:pPr>
              <w:spacing w:before="20" w:after="20" w:line="300" w:lineRule="exact"/>
              <w:rPr>
                <w:color w:val="auto"/>
              </w:rPr>
            </w:pPr>
            <w:r>
              <w:rPr>
                <w:rFonts w:ascii="Times New Roman" w:hAnsi="Times New Roman" w:eastAsia="宋体"/>
                <w:color w:val="auto"/>
                <w:sz w:val="21"/>
              </w:rPr>
              <w:t>4.人员要求：供应商须自行配备车辆驾驶员及操作人员。驾驶员须持与车型相符的有效驾驶证，驾龄原则上不低于5年。每车须配备至少1名熟练操作人员。</w:t>
            </w:r>
          </w:p>
        </w:tc>
        <w:tc>
          <w:tcPr>
            <w:tcW w:w="250" w:type="pct"/>
            <w:vAlign w:val="center"/>
          </w:tcPr>
          <w:p w14:paraId="2A5025E7">
            <w:pPr>
              <w:spacing w:after="0" w:line="240" w:lineRule="auto"/>
              <w:jc w:val="both"/>
              <w:rPr>
                <w:color w:val="auto"/>
              </w:rPr>
            </w:pPr>
            <w:r>
              <w:rPr>
                <w:rFonts w:ascii="Times New Roman" w:hAnsi="Times New Roman" w:eastAsia="宋体"/>
                <w:color w:val="auto"/>
                <w:sz w:val="21"/>
              </w:rPr>
              <w:t>天</w:t>
            </w:r>
          </w:p>
        </w:tc>
        <w:tc>
          <w:tcPr>
            <w:tcW w:w="281" w:type="pct"/>
            <w:vAlign w:val="center"/>
          </w:tcPr>
          <w:p w14:paraId="7EEB6522">
            <w:pPr>
              <w:spacing w:after="0" w:line="240" w:lineRule="auto"/>
              <w:jc w:val="both"/>
              <w:rPr>
                <w:color w:val="auto"/>
              </w:rPr>
            </w:pPr>
            <w:r>
              <w:rPr>
                <w:rFonts w:ascii="Times New Roman" w:hAnsi="Times New Roman" w:eastAsia="宋体"/>
                <w:color w:val="auto"/>
                <w:sz w:val="21"/>
              </w:rPr>
              <w:t>120</w:t>
            </w:r>
          </w:p>
        </w:tc>
        <w:tc>
          <w:tcPr>
            <w:tcW w:w="450" w:type="pct"/>
            <w:vAlign w:val="center"/>
          </w:tcPr>
          <w:p w14:paraId="65E4ABE8">
            <w:pPr>
              <w:spacing w:after="0" w:line="240" w:lineRule="auto"/>
              <w:jc w:val="both"/>
              <w:rPr>
                <w:rFonts w:hint="default" w:eastAsia="宋体"/>
                <w:color w:val="auto"/>
                <w:lang w:val="en-US" w:eastAsia="zh-CN"/>
              </w:rPr>
            </w:pPr>
          </w:p>
        </w:tc>
        <w:tc>
          <w:tcPr>
            <w:tcW w:w="425" w:type="pct"/>
            <w:vAlign w:val="center"/>
          </w:tcPr>
          <w:p w14:paraId="70987F88">
            <w:pPr>
              <w:spacing w:after="0" w:line="240" w:lineRule="auto"/>
              <w:jc w:val="both"/>
              <w:rPr>
                <w:color w:val="auto"/>
              </w:rPr>
            </w:pPr>
          </w:p>
        </w:tc>
      </w:tr>
      <w:tr w14:paraId="4E73B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224" w:type="pct"/>
            <w:vMerge w:val="restart"/>
            <w:vAlign w:val="center"/>
          </w:tcPr>
          <w:p w14:paraId="3B89502E">
            <w:pPr>
              <w:spacing w:after="0" w:line="240" w:lineRule="auto"/>
              <w:jc w:val="both"/>
              <w:rPr>
                <w:color w:val="auto"/>
              </w:rPr>
            </w:pPr>
            <w:r>
              <w:rPr>
                <w:rFonts w:ascii="Times New Roman" w:hAnsi="Times New Roman" w:eastAsia="宋体"/>
                <w:color w:val="auto"/>
                <w:sz w:val="21"/>
              </w:rPr>
              <w:t>5</w:t>
            </w:r>
          </w:p>
        </w:tc>
        <w:tc>
          <w:tcPr>
            <w:tcW w:w="492" w:type="pct"/>
            <w:vMerge w:val="restart"/>
            <w:vAlign w:val="center"/>
          </w:tcPr>
          <w:p w14:paraId="5EB7F5CE">
            <w:pPr>
              <w:spacing w:after="0" w:line="240" w:lineRule="auto"/>
              <w:jc w:val="left"/>
              <w:rPr>
                <w:color w:val="auto"/>
              </w:rPr>
            </w:pPr>
            <w:r>
              <w:rPr>
                <w:rFonts w:ascii="Times New Roman" w:hAnsi="Times New Roman" w:eastAsia="宋体"/>
                <w:b/>
                <w:color w:val="auto"/>
                <w:sz w:val="21"/>
              </w:rPr>
              <w:t>粉碎点现场服务人员</w:t>
            </w:r>
          </w:p>
        </w:tc>
        <w:tc>
          <w:tcPr>
            <w:tcW w:w="2876" w:type="pct"/>
            <w:vMerge w:val="restart"/>
          </w:tcPr>
          <w:p w14:paraId="7B7B30FD">
            <w:pPr>
              <w:spacing w:before="20" w:after="20" w:line="300" w:lineRule="exact"/>
              <w:rPr>
                <w:rFonts w:ascii="Times New Roman" w:hAnsi="Times New Roman" w:eastAsia="黑体"/>
                <w:b/>
                <w:color w:val="auto"/>
                <w:sz w:val="21"/>
              </w:rPr>
            </w:pPr>
            <w:r>
              <w:rPr>
                <w:rFonts w:ascii="Times New Roman" w:hAnsi="Times New Roman" w:eastAsia="黑体"/>
                <w:b/>
                <w:color w:val="auto"/>
                <w:sz w:val="21"/>
              </w:rPr>
              <w:t>粉碎点现场服务人员配置及要求：</w:t>
            </w:r>
          </w:p>
          <w:p w14:paraId="58A8D461">
            <w:pPr>
              <w:spacing w:before="20" w:after="20" w:line="300" w:lineRule="exact"/>
              <w:rPr>
                <w:color w:val="auto"/>
              </w:rPr>
            </w:pPr>
            <w:r>
              <w:rPr>
                <w:rFonts w:ascii="Times New Roman" w:hAnsi="Times New Roman" w:eastAsia="宋体"/>
                <w:color w:val="auto"/>
                <w:sz w:val="21"/>
              </w:rPr>
              <w:t>1.多功能装载机司机2名：具备相应驾驶证，驾龄三年以上，年龄不超过60周岁，身体健康，能够熟练操作多功能装载机进行绿废收集、装载等作业。</w:t>
            </w:r>
          </w:p>
          <w:p w14:paraId="38E18304">
            <w:pPr>
              <w:spacing w:before="20" w:after="20" w:line="300" w:lineRule="exact"/>
              <w:rPr>
                <w:color w:val="auto"/>
              </w:rPr>
            </w:pPr>
            <w:r>
              <w:rPr>
                <w:rFonts w:ascii="Times New Roman" w:hAnsi="Times New Roman" w:eastAsia="宋体"/>
                <w:color w:val="auto"/>
                <w:sz w:val="21"/>
              </w:rPr>
              <w:t>2.设备操作员2名：熟悉粉碎机结构原理及绿废物料特性，能够规范操作设备、进行日常保养、判断常见异常、处置堵塞和卡料等突发情况。上岗前须完成岗位级实操培训（培训内容须覆盖粉碎机结构原理、安全联锁装置、急停操作、堵塞清理规程及绿废物料特性等），经理论考试与实操考核双合格后方可独立上岗。培训由</w:t>
            </w:r>
            <w:r>
              <w:rPr>
                <w:rFonts w:hint="eastAsia"/>
                <w:color w:val="auto"/>
                <w:sz w:val="21"/>
                <w:lang w:eastAsia="zh-CN"/>
              </w:rPr>
              <w:t>供应商</w:t>
            </w:r>
            <w:r>
              <w:rPr>
                <w:rFonts w:ascii="Times New Roman" w:hAnsi="Times New Roman" w:eastAsia="宋体"/>
                <w:color w:val="auto"/>
                <w:sz w:val="21"/>
              </w:rPr>
              <w:t>负责组织实施。</w:t>
            </w:r>
          </w:p>
          <w:p w14:paraId="1867D2F6">
            <w:pPr>
              <w:spacing w:before="20" w:after="20" w:line="300" w:lineRule="exact"/>
              <w:rPr>
                <w:color w:val="auto"/>
              </w:rPr>
            </w:pPr>
            <w:r>
              <w:rPr>
                <w:rFonts w:ascii="Times New Roman" w:hAnsi="Times New Roman" w:eastAsia="宋体"/>
                <w:color w:val="auto"/>
                <w:sz w:val="21"/>
              </w:rPr>
              <w:t>3.现场负责人1名：具备工程类中级及以上职称，熟悉现场人材机协调管理，兼安全管理职责，负责粉碎点现场作业的组织协调、安全监督及应急处理。</w:t>
            </w:r>
          </w:p>
          <w:p w14:paraId="1AD0B278">
            <w:pPr>
              <w:spacing w:before="20" w:after="20" w:line="300" w:lineRule="exact"/>
              <w:rPr>
                <w:color w:val="auto"/>
              </w:rPr>
            </w:pPr>
            <w:r>
              <w:rPr>
                <w:rFonts w:ascii="Times New Roman" w:hAnsi="Times New Roman" w:eastAsia="宋体"/>
                <w:color w:val="auto"/>
                <w:sz w:val="21"/>
              </w:rPr>
              <w:t>4.壮工2名：年龄不超过60周岁，身体健康，能够熟练掌握清理出料输送机下方物料及理顺物料进入破碎机方向等辅助作业。</w:t>
            </w:r>
          </w:p>
          <w:p w14:paraId="6D2B46F5">
            <w:pPr>
              <w:spacing w:before="20" w:after="20" w:line="300" w:lineRule="exact"/>
              <w:rPr>
                <w:color w:val="auto"/>
              </w:rPr>
            </w:pPr>
            <w:r>
              <w:rPr>
                <w:rFonts w:ascii="Times New Roman" w:hAnsi="Times New Roman" w:eastAsia="宋体"/>
                <w:b/>
                <w:bCs/>
                <w:color w:val="auto"/>
                <w:sz w:val="21"/>
              </w:rPr>
              <w:t>注：以上现场服务人员均由</w:t>
            </w:r>
            <w:r>
              <w:rPr>
                <w:rFonts w:hint="eastAsia"/>
                <w:b/>
                <w:bCs/>
                <w:color w:val="auto"/>
                <w:sz w:val="21"/>
                <w:lang w:eastAsia="zh-CN"/>
              </w:rPr>
              <w:t>供应商</w:t>
            </w:r>
            <w:r>
              <w:rPr>
                <w:rFonts w:ascii="Times New Roman" w:hAnsi="Times New Roman" w:eastAsia="宋体"/>
                <w:b/>
                <w:bCs/>
                <w:color w:val="auto"/>
                <w:sz w:val="21"/>
              </w:rPr>
              <w:t>自行配备，相关人员的人身安全、劳动报酬及社会保险</w:t>
            </w:r>
            <w:r>
              <w:rPr>
                <w:rFonts w:hint="eastAsia"/>
                <w:b/>
                <w:bCs/>
                <w:color w:val="auto"/>
                <w:sz w:val="21"/>
                <w:lang w:eastAsia="zh-CN"/>
              </w:rPr>
              <w:t>（</w:t>
            </w:r>
            <w:r>
              <w:rPr>
                <w:rFonts w:hint="eastAsia"/>
                <w:b/>
                <w:bCs/>
                <w:color w:val="auto"/>
                <w:sz w:val="21"/>
                <w:lang w:val="en-US" w:eastAsia="zh-CN"/>
              </w:rPr>
              <w:t>五险</w:t>
            </w:r>
            <w:r>
              <w:rPr>
                <w:rFonts w:hint="eastAsia"/>
                <w:b/>
                <w:bCs/>
                <w:color w:val="auto"/>
                <w:sz w:val="21"/>
                <w:lang w:eastAsia="zh-CN"/>
              </w:rPr>
              <w:t>）</w:t>
            </w:r>
            <w:r>
              <w:rPr>
                <w:rFonts w:ascii="Times New Roman" w:hAnsi="Times New Roman" w:eastAsia="宋体"/>
                <w:b/>
                <w:bCs/>
                <w:color w:val="auto"/>
                <w:sz w:val="21"/>
              </w:rPr>
              <w:t>等均由</w:t>
            </w:r>
            <w:r>
              <w:rPr>
                <w:rFonts w:hint="eastAsia"/>
                <w:b/>
                <w:bCs/>
                <w:color w:val="auto"/>
                <w:sz w:val="21"/>
                <w:lang w:eastAsia="zh-CN"/>
              </w:rPr>
              <w:t>供应商</w:t>
            </w:r>
            <w:r>
              <w:rPr>
                <w:rFonts w:ascii="Times New Roman" w:hAnsi="Times New Roman" w:eastAsia="宋体"/>
                <w:b/>
                <w:bCs/>
                <w:color w:val="auto"/>
                <w:sz w:val="21"/>
              </w:rPr>
              <w:t>负责。</w:t>
            </w:r>
          </w:p>
        </w:tc>
        <w:tc>
          <w:tcPr>
            <w:tcW w:w="250" w:type="pct"/>
            <w:vAlign w:val="center"/>
          </w:tcPr>
          <w:p w14:paraId="225C3A6A">
            <w:pPr>
              <w:spacing w:after="0" w:line="240" w:lineRule="auto"/>
              <w:jc w:val="center"/>
              <w:rPr>
                <w:rFonts w:hint="default" w:eastAsia="宋体"/>
                <w:color w:val="auto"/>
                <w:lang w:val="en-US" w:eastAsia="zh-CN"/>
              </w:rPr>
            </w:pPr>
            <w:r>
              <w:rPr>
                <w:rFonts w:hint="eastAsia"/>
                <w:color w:val="auto"/>
                <w:lang w:val="en-US" w:eastAsia="zh-CN"/>
              </w:rPr>
              <w:t>月</w:t>
            </w:r>
          </w:p>
        </w:tc>
        <w:tc>
          <w:tcPr>
            <w:tcW w:w="281" w:type="pct"/>
            <w:vAlign w:val="center"/>
          </w:tcPr>
          <w:p w14:paraId="763B5349">
            <w:pPr>
              <w:spacing w:after="0" w:line="240" w:lineRule="auto"/>
              <w:jc w:val="center"/>
              <w:rPr>
                <w:rFonts w:hint="eastAsia" w:eastAsia="宋体"/>
                <w:color w:val="auto"/>
                <w:lang w:val="en-US" w:eastAsia="zh-CN"/>
              </w:rPr>
            </w:pPr>
            <w:r>
              <w:rPr>
                <w:rFonts w:hint="eastAsia"/>
                <w:color w:val="auto"/>
                <w:lang w:val="en-US" w:eastAsia="zh-CN"/>
              </w:rPr>
              <w:t>2*6</w:t>
            </w:r>
          </w:p>
        </w:tc>
        <w:tc>
          <w:tcPr>
            <w:tcW w:w="450" w:type="pct"/>
            <w:vAlign w:val="center"/>
          </w:tcPr>
          <w:p w14:paraId="0B429BA2">
            <w:pPr>
              <w:spacing w:after="0" w:line="240" w:lineRule="auto"/>
              <w:jc w:val="center"/>
              <w:rPr>
                <w:rFonts w:hint="default" w:eastAsia="宋体"/>
                <w:color w:val="auto"/>
                <w:lang w:val="en-US" w:eastAsia="zh-CN"/>
              </w:rPr>
            </w:pPr>
          </w:p>
        </w:tc>
        <w:tc>
          <w:tcPr>
            <w:tcW w:w="425" w:type="pct"/>
            <w:vMerge w:val="restart"/>
            <w:vAlign w:val="center"/>
          </w:tcPr>
          <w:p w14:paraId="7949B021">
            <w:pPr>
              <w:spacing w:after="0" w:line="240" w:lineRule="auto"/>
              <w:jc w:val="both"/>
              <w:rPr>
                <w:rFonts w:hint="default" w:eastAsia="宋体"/>
                <w:color w:val="auto"/>
                <w:lang w:val="en-US" w:eastAsia="zh-CN"/>
              </w:rPr>
            </w:pPr>
          </w:p>
        </w:tc>
      </w:tr>
      <w:tr w14:paraId="5513F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224" w:type="pct"/>
            <w:vMerge w:val="continue"/>
            <w:vAlign w:val="center"/>
          </w:tcPr>
          <w:p w14:paraId="01672E3D">
            <w:pPr>
              <w:spacing w:after="0" w:line="240" w:lineRule="auto"/>
              <w:jc w:val="both"/>
              <w:rPr>
                <w:color w:val="auto"/>
              </w:rPr>
            </w:pPr>
          </w:p>
        </w:tc>
        <w:tc>
          <w:tcPr>
            <w:tcW w:w="492" w:type="pct"/>
            <w:vMerge w:val="continue"/>
            <w:vAlign w:val="center"/>
          </w:tcPr>
          <w:p w14:paraId="5CABA801">
            <w:pPr>
              <w:spacing w:after="0" w:line="240" w:lineRule="auto"/>
              <w:jc w:val="both"/>
              <w:rPr>
                <w:color w:val="auto"/>
              </w:rPr>
            </w:pPr>
          </w:p>
        </w:tc>
        <w:tc>
          <w:tcPr>
            <w:tcW w:w="2876" w:type="pct"/>
            <w:vMerge w:val="continue"/>
          </w:tcPr>
          <w:p w14:paraId="1896A6A8">
            <w:pPr>
              <w:spacing w:after="0" w:line="240" w:lineRule="auto"/>
              <w:jc w:val="both"/>
              <w:rPr>
                <w:color w:val="auto"/>
              </w:rPr>
            </w:pPr>
          </w:p>
        </w:tc>
        <w:tc>
          <w:tcPr>
            <w:tcW w:w="250" w:type="pct"/>
            <w:vAlign w:val="center"/>
          </w:tcPr>
          <w:p w14:paraId="785CFCFD">
            <w:pPr>
              <w:spacing w:after="0" w:line="240" w:lineRule="auto"/>
              <w:jc w:val="center"/>
              <w:rPr>
                <w:rFonts w:hint="default"/>
                <w:color w:val="auto"/>
                <w:lang w:val="en-US" w:eastAsia="zh-CN"/>
              </w:rPr>
            </w:pPr>
            <w:r>
              <w:rPr>
                <w:rFonts w:hint="eastAsia"/>
                <w:color w:val="auto"/>
                <w:lang w:val="en-US" w:eastAsia="zh-CN"/>
              </w:rPr>
              <w:t>月</w:t>
            </w:r>
          </w:p>
        </w:tc>
        <w:tc>
          <w:tcPr>
            <w:tcW w:w="281" w:type="pct"/>
            <w:vAlign w:val="center"/>
          </w:tcPr>
          <w:p w14:paraId="42496569">
            <w:pPr>
              <w:spacing w:after="0" w:line="240" w:lineRule="auto"/>
              <w:jc w:val="center"/>
              <w:rPr>
                <w:rFonts w:hint="default"/>
                <w:color w:val="auto"/>
                <w:lang w:val="en-US" w:eastAsia="zh-CN"/>
              </w:rPr>
            </w:pPr>
            <w:r>
              <w:rPr>
                <w:rFonts w:hint="eastAsia"/>
                <w:color w:val="auto"/>
                <w:lang w:val="en-US" w:eastAsia="zh-CN"/>
              </w:rPr>
              <w:t>2*6</w:t>
            </w:r>
          </w:p>
        </w:tc>
        <w:tc>
          <w:tcPr>
            <w:tcW w:w="450" w:type="pct"/>
            <w:vAlign w:val="center"/>
          </w:tcPr>
          <w:p w14:paraId="5558AF9B">
            <w:pPr>
              <w:spacing w:after="0" w:line="240" w:lineRule="auto"/>
              <w:jc w:val="center"/>
              <w:rPr>
                <w:rFonts w:hint="default"/>
                <w:color w:val="auto"/>
                <w:lang w:val="en-US" w:eastAsia="zh-CN"/>
              </w:rPr>
            </w:pPr>
          </w:p>
        </w:tc>
        <w:tc>
          <w:tcPr>
            <w:tcW w:w="425" w:type="pct"/>
            <w:vMerge w:val="continue"/>
            <w:vAlign w:val="center"/>
          </w:tcPr>
          <w:p w14:paraId="5625D85B">
            <w:pPr>
              <w:spacing w:after="0" w:line="240" w:lineRule="auto"/>
              <w:jc w:val="both"/>
              <w:rPr>
                <w:rFonts w:hint="eastAsia"/>
                <w:color w:val="auto"/>
                <w:lang w:val="en-US" w:eastAsia="zh-CN"/>
              </w:rPr>
            </w:pPr>
          </w:p>
        </w:tc>
      </w:tr>
      <w:tr w14:paraId="3265D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224" w:type="pct"/>
            <w:vMerge w:val="continue"/>
            <w:vAlign w:val="center"/>
          </w:tcPr>
          <w:p w14:paraId="545D4B2A">
            <w:pPr>
              <w:spacing w:after="0" w:line="240" w:lineRule="auto"/>
              <w:jc w:val="both"/>
              <w:rPr>
                <w:rFonts w:hint="eastAsia"/>
                <w:color w:val="auto"/>
                <w:lang w:val="en-US" w:eastAsia="zh-CN"/>
              </w:rPr>
            </w:pPr>
          </w:p>
        </w:tc>
        <w:tc>
          <w:tcPr>
            <w:tcW w:w="492" w:type="pct"/>
            <w:vMerge w:val="continue"/>
            <w:vAlign w:val="center"/>
          </w:tcPr>
          <w:p w14:paraId="0F06B657">
            <w:pPr>
              <w:spacing w:after="0" w:line="240" w:lineRule="auto"/>
              <w:jc w:val="both"/>
              <w:rPr>
                <w:rFonts w:hint="eastAsia"/>
                <w:color w:val="auto"/>
                <w:lang w:val="en-US" w:eastAsia="zh-CN"/>
              </w:rPr>
            </w:pPr>
          </w:p>
        </w:tc>
        <w:tc>
          <w:tcPr>
            <w:tcW w:w="2876" w:type="pct"/>
            <w:vMerge w:val="continue"/>
          </w:tcPr>
          <w:p w14:paraId="5ECC49F1">
            <w:pPr>
              <w:spacing w:after="0" w:line="240" w:lineRule="auto"/>
              <w:jc w:val="both"/>
              <w:rPr>
                <w:rFonts w:hint="eastAsia"/>
                <w:color w:val="auto"/>
                <w:lang w:val="en-US" w:eastAsia="zh-CN"/>
              </w:rPr>
            </w:pPr>
          </w:p>
        </w:tc>
        <w:tc>
          <w:tcPr>
            <w:tcW w:w="250" w:type="pct"/>
            <w:vAlign w:val="center"/>
          </w:tcPr>
          <w:p w14:paraId="23FD8E94">
            <w:pPr>
              <w:spacing w:after="0" w:line="240" w:lineRule="auto"/>
              <w:jc w:val="center"/>
              <w:rPr>
                <w:rFonts w:hint="default"/>
                <w:color w:val="auto"/>
                <w:lang w:val="en-US" w:eastAsia="zh-CN"/>
              </w:rPr>
            </w:pPr>
            <w:r>
              <w:rPr>
                <w:rFonts w:hint="eastAsia"/>
                <w:color w:val="auto"/>
                <w:lang w:val="en-US" w:eastAsia="zh-CN"/>
              </w:rPr>
              <w:t>月</w:t>
            </w:r>
          </w:p>
        </w:tc>
        <w:tc>
          <w:tcPr>
            <w:tcW w:w="281" w:type="pct"/>
            <w:vAlign w:val="center"/>
          </w:tcPr>
          <w:p w14:paraId="0607C9EB">
            <w:pPr>
              <w:spacing w:after="0" w:line="240" w:lineRule="auto"/>
              <w:jc w:val="center"/>
              <w:rPr>
                <w:rFonts w:hint="default"/>
                <w:color w:val="auto"/>
                <w:lang w:val="en-US" w:eastAsia="zh-CN"/>
              </w:rPr>
            </w:pPr>
            <w:r>
              <w:rPr>
                <w:rFonts w:hint="eastAsia"/>
                <w:color w:val="auto"/>
                <w:lang w:val="en-US" w:eastAsia="zh-CN"/>
              </w:rPr>
              <w:t>6</w:t>
            </w:r>
          </w:p>
        </w:tc>
        <w:tc>
          <w:tcPr>
            <w:tcW w:w="450" w:type="pct"/>
            <w:vAlign w:val="center"/>
          </w:tcPr>
          <w:p w14:paraId="0EAE36EC">
            <w:pPr>
              <w:spacing w:after="0" w:line="240" w:lineRule="auto"/>
              <w:jc w:val="center"/>
              <w:rPr>
                <w:rFonts w:hint="default"/>
                <w:color w:val="auto"/>
                <w:lang w:val="en-US" w:eastAsia="zh-CN"/>
              </w:rPr>
            </w:pPr>
          </w:p>
        </w:tc>
        <w:tc>
          <w:tcPr>
            <w:tcW w:w="425" w:type="pct"/>
            <w:vMerge w:val="continue"/>
            <w:vAlign w:val="center"/>
          </w:tcPr>
          <w:p w14:paraId="77765359">
            <w:pPr>
              <w:spacing w:after="0" w:line="240" w:lineRule="auto"/>
              <w:jc w:val="both"/>
              <w:rPr>
                <w:rFonts w:hint="eastAsia"/>
                <w:color w:val="auto"/>
                <w:lang w:val="en-US" w:eastAsia="zh-CN"/>
              </w:rPr>
            </w:pPr>
          </w:p>
        </w:tc>
      </w:tr>
      <w:tr w14:paraId="58FA8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224" w:type="pct"/>
            <w:vMerge w:val="continue"/>
            <w:vAlign w:val="center"/>
          </w:tcPr>
          <w:p w14:paraId="4CED0F0B">
            <w:pPr>
              <w:spacing w:after="0" w:line="240" w:lineRule="auto"/>
              <w:jc w:val="both"/>
              <w:rPr>
                <w:rFonts w:hint="eastAsia"/>
                <w:color w:val="auto"/>
                <w:lang w:val="en-US" w:eastAsia="zh-CN"/>
              </w:rPr>
            </w:pPr>
          </w:p>
        </w:tc>
        <w:tc>
          <w:tcPr>
            <w:tcW w:w="492" w:type="pct"/>
            <w:vMerge w:val="continue"/>
            <w:vAlign w:val="center"/>
          </w:tcPr>
          <w:p w14:paraId="1C17D711">
            <w:pPr>
              <w:spacing w:after="0" w:line="240" w:lineRule="auto"/>
              <w:jc w:val="both"/>
              <w:rPr>
                <w:rFonts w:hint="eastAsia"/>
                <w:color w:val="auto"/>
                <w:lang w:val="en-US" w:eastAsia="zh-CN"/>
              </w:rPr>
            </w:pPr>
          </w:p>
        </w:tc>
        <w:tc>
          <w:tcPr>
            <w:tcW w:w="2876" w:type="pct"/>
            <w:vMerge w:val="continue"/>
          </w:tcPr>
          <w:p w14:paraId="3F272E36">
            <w:pPr>
              <w:spacing w:after="0" w:line="240" w:lineRule="auto"/>
              <w:jc w:val="both"/>
              <w:rPr>
                <w:rFonts w:hint="eastAsia"/>
                <w:color w:val="auto"/>
                <w:lang w:val="en-US" w:eastAsia="zh-CN"/>
              </w:rPr>
            </w:pPr>
          </w:p>
        </w:tc>
        <w:tc>
          <w:tcPr>
            <w:tcW w:w="250" w:type="pct"/>
            <w:vAlign w:val="center"/>
          </w:tcPr>
          <w:p w14:paraId="6A6D5E4C">
            <w:pPr>
              <w:spacing w:after="0" w:line="240" w:lineRule="auto"/>
              <w:jc w:val="center"/>
              <w:rPr>
                <w:rFonts w:hint="default"/>
                <w:color w:val="auto"/>
                <w:lang w:val="en-US" w:eastAsia="zh-CN"/>
              </w:rPr>
            </w:pPr>
            <w:r>
              <w:rPr>
                <w:rFonts w:hint="eastAsia"/>
                <w:color w:val="auto"/>
                <w:lang w:val="en-US" w:eastAsia="zh-CN"/>
              </w:rPr>
              <w:t>月</w:t>
            </w:r>
          </w:p>
        </w:tc>
        <w:tc>
          <w:tcPr>
            <w:tcW w:w="281" w:type="pct"/>
            <w:vAlign w:val="center"/>
          </w:tcPr>
          <w:p w14:paraId="2071653C">
            <w:pPr>
              <w:spacing w:after="0" w:line="240" w:lineRule="auto"/>
              <w:jc w:val="center"/>
              <w:rPr>
                <w:rFonts w:hint="default"/>
                <w:color w:val="auto"/>
                <w:lang w:val="en-US" w:eastAsia="zh-CN"/>
              </w:rPr>
            </w:pPr>
            <w:r>
              <w:rPr>
                <w:rFonts w:hint="eastAsia"/>
                <w:color w:val="auto"/>
                <w:lang w:val="en-US" w:eastAsia="zh-CN"/>
              </w:rPr>
              <w:t>2*6</w:t>
            </w:r>
          </w:p>
        </w:tc>
        <w:tc>
          <w:tcPr>
            <w:tcW w:w="450" w:type="pct"/>
            <w:vAlign w:val="center"/>
          </w:tcPr>
          <w:p w14:paraId="0A33D07D">
            <w:pPr>
              <w:spacing w:after="0" w:line="240" w:lineRule="auto"/>
              <w:jc w:val="center"/>
              <w:rPr>
                <w:rFonts w:hint="default"/>
                <w:color w:val="auto"/>
                <w:lang w:val="en-US" w:eastAsia="zh-CN"/>
              </w:rPr>
            </w:pPr>
          </w:p>
        </w:tc>
        <w:tc>
          <w:tcPr>
            <w:tcW w:w="425" w:type="pct"/>
            <w:vMerge w:val="continue"/>
            <w:vAlign w:val="center"/>
          </w:tcPr>
          <w:p w14:paraId="3462CEFF">
            <w:pPr>
              <w:spacing w:after="0" w:line="240" w:lineRule="auto"/>
              <w:jc w:val="both"/>
              <w:rPr>
                <w:rFonts w:hint="eastAsia"/>
                <w:color w:val="auto"/>
                <w:lang w:val="en-US" w:eastAsia="zh-CN"/>
              </w:rPr>
            </w:pPr>
          </w:p>
        </w:tc>
      </w:tr>
      <w:tr w14:paraId="1C02B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2" w:hRule="atLeast"/>
          <w:jc w:val="center"/>
        </w:trPr>
        <w:tc>
          <w:tcPr>
            <w:tcW w:w="224" w:type="pct"/>
            <w:vAlign w:val="center"/>
          </w:tcPr>
          <w:p w14:paraId="3AB74AFC">
            <w:pPr>
              <w:spacing w:after="0" w:line="240" w:lineRule="auto"/>
              <w:jc w:val="both"/>
              <w:rPr>
                <w:rFonts w:hint="default"/>
                <w:color w:val="auto"/>
                <w:lang w:val="en-US" w:eastAsia="zh-CN"/>
              </w:rPr>
            </w:pPr>
            <w:r>
              <w:rPr>
                <w:rFonts w:hint="eastAsia"/>
                <w:color w:val="auto"/>
                <w:lang w:val="en-US" w:eastAsia="zh-CN"/>
              </w:rPr>
              <w:t>5</w:t>
            </w:r>
          </w:p>
        </w:tc>
        <w:tc>
          <w:tcPr>
            <w:tcW w:w="492" w:type="pct"/>
            <w:vAlign w:val="center"/>
          </w:tcPr>
          <w:p w14:paraId="6D9E84C8">
            <w:pPr>
              <w:spacing w:after="0" w:line="240" w:lineRule="auto"/>
              <w:jc w:val="both"/>
              <w:rPr>
                <w:rFonts w:hint="default"/>
                <w:color w:val="auto"/>
                <w:lang w:val="en-US" w:eastAsia="zh-CN"/>
              </w:rPr>
            </w:pPr>
            <w:r>
              <w:rPr>
                <w:rFonts w:hint="eastAsia"/>
                <w:color w:val="auto"/>
                <w:lang w:val="en-US" w:eastAsia="zh-CN"/>
              </w:rPr>
              <w:t>垃圾清运</w:t>
            </w:r>
          </w:p>
        </w:tc>
        <w:tc>
          <w:tcPr>
            <w:tcW w:w="2876" w:type="pct"/>
          </w:tcPr>
          <w:p w14:paraId="1804C096">
            <w:pPr>
              <w:spacing w:before="20" w:after="20" w:line="300" w:lineRule="exact"/>
              <w:rPr>
                <w:rFonts w:hint="eastAsia" w:ascii="宋体" w:hAnsi="宋体" w:eastAsia="宋体" w:cs="宋体"/>
                <w:color w:val="auto"/>
                <w:sz w:val="21"/>
                <w:szCs w:val="21"/>
              </w:rPr>
            </w:pPr>
            <w:r>
              <w:rPr>
                <w:rFonts w:hint="eastAsia" w:ascii="宋体" w:hAnsi="宋体" w:eastAsia="宋体" w:cs="宋体"/>
                <w:b/>
                <w:color w:val="auto"/>
                <w:sz w:val="21"/>
                <w:szCs w:val="21"/>
              </w:rPr>
              <w:t>一、服务内容</w:t>
            </w:r>
          </w:p>
          <w:p w14:paraId="6678557D">
            <w:pPr>
              <w:spacing w:before="20" w:after="20" w:line="300" w:lineRule="exac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cs="宋体"/>
                <w:color w:val="auto"/>
                <w:sz w:val="21"/>
                <w:szCs w:val="21"/>
                <w:lang w:val="en-US" w:eastAsia="zh-CN"/>
              </w:rPr>
              <w:t>.</w:t>
            </w:r>
            <w:r>
              <w:rPr>
                <w:rFonts w:hint="eastAsia" w:ascii="宋体" w:hAnsi="宋体" w:eastAsia="宋体" w:cs="宋体"/>
                <w:color w:val="auto"/>
                <w:sz w:val="21"/>
                <w:szCs w:val="21"/>
                <w:lang w:val="en-US" w:eastAsia="zh-CN"/>
              </w:rPr>
              <w:t>为石家庄市城市水系园林中心管辖范围内的沿线区域及公园提供生活垃圾的装载、运输及合规处置服务。</w:t>
            </w:r>
          </w:p>
          <w:p w14:paraId="3E3A2E8E">
            <w:pPr>
              <w:spacing w:before="20" w:after="20" w:line="30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r>
              <w:rPr>
                <w:rFonts w:hint="eastAsia" w:ascii="宋体" w:hAnsi="宋体" w:cs="宋体"/>
                <w:color w:val="auto"/>
                <w:sz w:val="21"/>
                <w:szCs w:val="21"/>
                <w:lang w:val="en-US" w:eastAsia="zh-CN"/>
              </w:rPr>
              <w:t>.</w:t>
            </w:r>
            <w:r>
              <w:rPr>
                <w:rFonts w:hint="eastAsia" w:ascii="宋体" w:hAnsi="宋体" w:eastAsia="宋体" w:cs="宋体"/>
                <w:color w:val="auto"/>
                <w:sz w:val="21"/>
                <w:szCs w:val="21"/>
              </w:rPr>
              <w:t>因</w:t>
            </w:r>
            <w:r>
              <w:rPr>
                <w:rFonts w:hint="eastAsia" w:ascii="宋体" w:hAnsi="宋体" w:eastAsia="宋体" w:cs="宋体"/>
                <w:color w:val="auto"/>
                <w:sz w:val="21"/>
                <w:szCs w:val="21"/>
                <w:lang w:val="en-US" w:eastAsia="zh-CN"/>
              </w:rPr>
              <w:t>工作</w:t>
            </w:r>
            <w:r>
              <w:rPr>
                <w:rFonts w:hint="eastAsia" w:ascii="宋体" w:hAnsi="宋体" w:eastAsia="宋体" w:cs="宋体"/>
                <w:color w:val="auto"/>
                <w:sz w:val="21"/>
                <w:szCs w:val="21"/>
              </w:rPr>
              <w:t>实际需要，采购人临时交办的与本项服务内容相关的辅助性服务</w:t>
            </w:r>
            <w:r>
              <w:rPr>
                <w:rFonts w:hint="eastAsia" w:ascii="宋体" w:hAnsi="宋体" w:eastAsia="宋体" w:cs="宋体"/>
                <w:color w:val="auto"/>
                <w:sz w:val="21"/>
                <w:szCs w:val="21"/>
                <w:lang w:val="en-US" w:eastAsia="zh-CN"/>
              </w:rPr>
              <w:t>。</w:t>
            </w:r>
          </w:p>
          <w:p w14:paraId="635FB799">
            <w:pPr>
              <w:spacing w:before="20" w:after="20" w:line="300" w:lineRule="exact"/>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二、服务范围</w:t>
            </w:r>
          </w:p>
          <w:p w14:paraId="77D500CD">
            <w:pPr>
              <w:spacing w:before="20" w:after="20" w:line="30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太平河沿线、环城水系沿线、民心河沿线、秀水公园、卧虎山公园、世纪公园、胜利公园、天山公园等所管辖区域</w:t>
            </w:r>
          </w:p>
          <w:p w14:paraId="1032059F">
            <w:pPr>
              <w:spacing w:before="20" w:after="20" w:line="300" w:lineRule="exact"/>
              <w:rPr>
                <w:rFonts w:hint="eastAsia" w:ascii="宋体" w:hAnsi="宋体" w:eastAsia="宋体" w:cs="宋体"/>
                <w:b/>
                <w:color w:val="auto"/>
                <w:sz w:val="21"/>
                <w:szCs w:val="21"/>
                <w:lang w:val="en-US" w:eastAsia="zh-CN"/>
              </w:rPr>
            </w:pPr>
            <w:r>
              <w:rPr>
                <w:rFonts w:hint="eastAsia" w:ascii="宋体" w:hAnsi="宋体" w:cs="宋体"/>
                <w:b/>
                <w:color w:val="auto"/>
                <w:sz w:val="21"/>
                <w:szCs w:val="21"/>
                <w:lang w:val="en-US" w:eastAsia="zh-CN"/>
              </w:rPr>
              <w:t>三</w:t>
            </w:r>
            <w:r>
              <w:rPr>
                <w:rFonts w:hint="eastAsia" w:ascii="宋体" w:hAnsi="宋体" w:eastAsia="宋体" w:cs="宋体"/>
                <w:b/>
                <w:color w:val="auto"/>
                <w:sz w:val="21"/>
                <w:szCs w:val="21"/>
              </w:rPr>
              <w:t>、</w:t>
            </w:r>
            <w:r>
              <w:rPr>
                <w:rFonts w:hint="eastAsia" w:ascii="宋体" w:hAnsi="宋体" w:eastAsia="宋体" w:cs="宋体"/>
                <w:b/>
                <w:color w:val="auto"/>
                <w:sz w:val="21"/>
                <w:szCs w:val="21"/>
                <w:lang w:val="en-US" w:eastAsia="zh-CN"/>
              </w:rPr>
              <w:t>服务要求</w:t>
            </w:r>
          </w:p>
          <w:p w14:paraId="24CE8EF6">
            <w:pPr>
              <w:spacing w:after="0" w:line="240" w:lineRule="auto"/>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r>
              <w:rPr>
                <w:rFonts w:hint="eastAsia" w:ascii="宋体" w:hAnsi="宋体" w:cs="宋体"/>
                <w:color w:val="auto"/>
                <w:sz w:val="21"/>
                <w:szCs w:val="21"/>
                <w:lang w:val="en-US" w:eastAsia="zh-CN"/>
              </w:rPr>
              <w:t>.</w:t>
            </w:r>
            <w:r>
              <w:rPr>
                <w:rFonts w:hint="eastAsia" w:ascii="宋体" w:hAnsi="宋体" w:eastAsia="宋体" w:cs="宋体"/>
                <w:color w:val="auto"/>
                <w:sz w:val="21"/>
                <w:szCs w:val="21"/>
                <w:lang w:val="en-US" w:eastAsia="zh-CN"/>
              </w:rPr>
              <w:t>供应商须保质、保量、按时完成全部清运服务，清运垃圾必须运送至经城市管理部门批准的垃圾处置场所，按照国家及河北省环保规范进行无害化处置；严禁随意倾倒、丢弃垃圾。若因供应商违规倾倒造成采购人被行政主管部门处罚或向第三方承担赔偿责任的，全部罚款、赔偿金及采购人因此支出的所有维权费用均由供应商全额承担。</w:t>
            </w:r>
          </w:p>
          <w:p w14:paraId="4F7DE1C8">
            <w:pPr>
              <w:spacing w:after="0" w:line="240" w:lineRule="auto"/>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r>
              <w:rPr>
                <w:rFonts w:hint="eastAsia" w:ascii="宋体" w:hAnsi="宋体" w:cs="宋体"/>
                <w:color w:val="auto"/>
                <w:sz w:val="21"/>
                <w:szCs w:val="21"/>
                <w:lang w:val="en-US" w:eastAsia="zh-CN"/>
              </w:rPr>
              <w:t>.</w:t>
            </w:r>
            <w:r>
              <w:rPr>
                <w:rFonts w:hint="eastAsia" w:ascii="宋体" w:hAnsi="宋体" w:eastAsia="宋体" w:cs="宋体"/>
                <w:color w:val="auto"/>
                <w:sz w:val="21"/>
                <w:szCs w:val="21"/>
                <w:lang w:val="en-US" w:eastAsia="zh-CN"/>
              </w:rPr>
              <w:t>供应商自行配备垃圾运输车辆，垃圾装车完成后，供应商须使用密闭式篷布完全覆盖并捆扎牢固，确保运输途中无垃圾抛洒、滴漏、遗撒。清运车辆须为密闭式专用车辆，车况良好、车容整洁。清运途中发生落渣、漏料、污水渗漏的，供应商须在接到通知后30分钟内抵达现场清理污染路面、场地，恢复整洁。</w:t>
            </w:r>
          </w:p>
          <w:p w14:paraId="27221996">
            <w:pPr>
              <w:spacing w:after="0" w:line="240" w:lineRule="auto"/>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r>
              <w:rPr>
                <w:rFonts w:hint="eastAsia" w:ascii="宋体" w:hAnsi="宋体" w:cs="宋体"/>
                <w:color w:val="auto"/>
                <w:sz w:val="21"/>
                <w:szCs w:val="21"/>
                <w:lang w:val="en-US" w:eastAsia="zh-CN"/>
              </w:rPr>
              <w:t>.供应商</w:t>
            </w:r>
            <w:r>
              <w:rPr>
                <w:rFonts w:hint="eastAsia" w:ascii="宋体" w:hAnsi="宋体" w:eastAsia="宋体" w:cs="宋体"/>
                <w:color w:val="auto"/>
                <w:sz w:val="21"/>
                <w:szCs w:val="21"/>
                <w:lang w:val="en-US" w:eastAsia="zh-CN"/>
              </w:rPr>
              <w:t>未按约定时限完成清运作业的，</w:t>
            </w:r>
            <w:r>
              <w:rPr>
                <w:rFonts w:hint="eastAsia" w:ascii="宋体" w:hAnsi="宋体" w:cs="宋体"/>
                <w:color w:val="auto"/>
                <w:sz w:val="21"/>
                <w:szCs w:val="21"/>
                <w:lang w:val="en-US" w:eastAsia="zh-CN"/>
              </w:rPr>
              <w:t>采购人</w:t>
            </w:r>
            <w:r>
              <w:rPr>
                <w:rFonts w:hint="eastAsia" w:ascii="宋体" w:hAnsi="宋体" w:eastAsia="宋体" w:cs="宋体"/>
                <w:color w:val="auto"/>
                <w:sz w:val="21"/>
                <w:szCs w:val="21"/>
                <w:lang w:val="en-US" w:eastAsia="zh-CN"/>
              </w:rPr>
              <w:t>通知整改后，</w:t>
            </w:r>
            <w:r>
              <w:rPr>
                <w:rFonts w:hint="eastAsia" w:ascii="宋体" w:hAnsi="宋体" w:cs="宋体"/>
                <w:color w:val="auto"/>
                <w:sz w:val="21"/>
                <w:szCs w:val="21"/>
                <w:lang w:val="en-US" w:eastAsia="zh-CN"/>
              </w:rPr>
              <w:t>供应商</w:t>
            </w:r>
            <w:r>
              <w:rPr>
                <w:rFonts w:hint="eastAsia" w:ascii="宋体" w:hAnsi="宋体" w:eastAsia="宋体" w:cs="宋体"/>
                <w:color w:val="auto"/>
                <w:sz w:val="21"/>
                <w:szCs w:val="21"/>
                <w:lang w:val="en-US" w:eastAsia="zh-CN"/>
              </w:rPr>
              <w:t>须立即安排工作人员抵达现场核查处置，及时完成清运。</w:t>
            </w:r>
          </w:p>
          <w:p w14:paraId="66B22921">
            <w:pPr>
              <w:spacing w:after="0" w:line="240" w:lineRule="auto"/>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r>
              <w:rPr>
                <w:rFonts w:hint="eastAsia" w:ascii="宋体" w:hAnsi="宋体" w:cs="宋体"/>
                <w:color w:val="auto"/>
                <w:sz w:val="21"/>
                <w:szCs w:val="21"/>
                <w:lang w:val="en-US" w:eastAsia="zh-CN"/>
              </w:rPr>
              <w:t>.</w:t>
            </w:r>
            <w:r>
              <w:rPr>
                <w:rFonts w:hint="eastAsia" w:ascii="宋体" w:hAnsi="宋体" w:eastAsia="宋体" w:cs="宋体"/>
                <w:color w:val="auto"/>
                <w:sz w:val="21"/>
                <w:szCs w:val="21"/>
                <w:lang w:val="en-US" w:eastAsia="zh-CN"/>
              </w:rPr>
              <w:t>清运作业过程中，</w:t>
            </w:r>
            <w:r>
              <w:rPr>
                <w:rFonts w:hint="eastAsia" w:ascii="宋体" w:hAnsi="宋体" w:cs="宋体"/>
                <w:color w:val="auto"/>
                <w:sz w:val="21"/>
                <w:szCs w:val="21"/>
                <w:lang w:val="en-US" w:eastAsia="zh-CN"/>
              </w:rPr>
              <w:t>供应商</w:t>
            </w:r>
            <w:r>
              <w:rPr>
                <w:rFonts w:hint="eastAsia" w:ascii="宋体" w:hAnsi="宋体" w:eastAsia="宋体" w:cs="宋体"/>
                <w:color w:val="auto"/>
                <w:sz w:val="21"/>
                <w:szCs w:val="21"/>
                <w:lang w:val="en-US" w:eastAsia="zh-CN"/>
              </w:rPr>
              <w:t>车辆、人员造成</w:t>
            </w:r>
            <w:r>
              <w:rPr>
                <w:rFonts w:hint="eastAsia" w:ascii="宋体" w:hAnsi="宋体" w:cs="宋体"/>
                <w:color w:val="auto"/>
                <w:sz w:val="21"/>
                <w:szCs w:val="21"/>
                <w:lang w:val="en-US" w:eastAsia="zh-CN"/>
              </w:rPr>
              <w:t>采购人</w:t>
            </w:r>
            <w:r>
              <w:rPr>
                <w:rFonts w:hint="eastAsia" w:ascii="宋体" w:hAnsi="宋体" w:eastAsia="宋体" w:cs="宋体"/>
                <w:color w:val="auto"/>
                <w:sz w:val="21"/>
                <w:szCs w:val="21"/>
                <w:lang w:val="en-US" w:eastAsia="zh-CN"/>
              </w:rPr>
              <w:t>园区设施、市政公共设施损坏的，</w:t>
            </w:r>
            <w:r>
              <w:rPr>
                <w:rFonts w:hint="eastAsia" w:ascii="宋体" w:hAnsi="宋体" w:cs="宋体"/>
                <w:color w:val="auto"/>
                <w:sz w:val="21"/>
                <w:szCs w:val="21"/>
                <w:lang w:val="en-US" w:eastAsia="zh-CN"/>
              </w:rPr>
              <w:t>供应商</w:t>
            </w:r>
            <w:r>
              <w:rPr>
                <w:rFonts w:hint="eastAsia" w:ascii="宋体" w:hAnsi="宋体" w:eastAsia="宋体" w:cs="宋体"/>
                <w:color w:val="auto"/>
                <w:sz w:val="21"/>
                <w:szCs w:val="21"/>
                <w:lang w:val="en-US" w:eastAsia="zh-CN"/>
              </w:rPr>
              <w:t>按设施实际购置、维修价格全额赔偿。</w:t>
            </w:r>
          </w:p>
          <w:p w14:paraId="3D586C5B">
            <w:pPr>
              <w:spacing w:after="0" w:line="240" w:lineRule="auto"/>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r>
              <w:rPr>
                <w:rFonts w:hint="eastAsia" w:ascii="宋体" w:hAnsi="宋体" w:cs="宋体"/>
                <w:color w:val="auto"/>
                <w:sz w:val="21"/>
                <w:szCs w:val="21"/>
                <w:lang w:val="en-US" w:eastAsia="zh-CN"/>
              </w:rPr>
              <w:t>.供应商</w:t>
            </w:r>
            <w:r>
              <w:rPr>
                <w:rFonts w:hint="eastAsia" w:ascii="宋体" w:hAnsi="宋体" w:eastAsia="宋体" w:cs="宋体"/>
                <w:color w:val="auto"/>
                <w:sz w:val="21"/>
                <w:szCs w:val="21"/>
                <w:lang w:val="en-US" w:eastAsia="zh-CN"/>
              </w:rPr>
              <w:t>须无条件接受</w:t>
            </w:r>
            <w:r>
              <w:rPr>
                <w:rFonts w:hint="eastAsia" w:ascii="宋体" w:hAnsi="宋体" w:cs="宋体"/>
                <w:color w:val="auto"/>
                <w:sz w:val="21"/>
                <w:szCs w:val="21"/>
                <w:lang w:val="en-US" w:eastAsia="zh-CN"/>
              </w:rPr>
              <w:t>采购人</w:t>
            </w:r>
            <w:r>
              <w:rPr>
                <w:rFonts w:hint="eastAsia" w:ascii="宋体" w:hAnsi="宋体" w:eastAsia="宋体" w:cs="宋体"/>
                <w:color w:val="auto"/>
                <w:sz w:val="21"/>
                <w:szCs w:val="21"/>
                <w:lang w:val="en-US" w:eastAsia="zh-CN"/>
              </w:rPr>
              <w:t>日常巡查、突击检查及各类整改指令，按要求限时整改到位。</w:t>
            </w:r>
          </w:p>
          <w:p w14:paraId="2B8F1272">
            <w:pPr>
              <w:spacing w:after="0" w:line="240" w:lineRule="auto"/>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w:t>
            </w:r>
            <w:r>
              <w:rPr>
                <w:rFonts w:hint="eastAsia" w:ascii="宋体" w:hAnsi="宋体" w:cs="宋体"/>
                <w:color w:val="auto"/>
                <w:sz w:val="21"/>
                <w:szCs w:val="21"/>
                <w:lang w:val="en-US" w:eastAsia="zh-CN"/>
              </w:rPr>
              <w:t>.供应商</w:t>
            </w:r>
            <w:r>
              <w:rPr>
                <w:rFonts w:hint="eastAsia" w:ascii="宋体" w:hAnsi="宋体" w:eastAsia="宋体" w:cs="宋体"/>
                <w:color w:val="auto"/>
                <w:sz w:val="21"/>
                <w:szCs w:val="21"/>
                <w:lang w:val="en-US" w:eastAsia="zh-CN"/>
              </w:rPr>
              <w:t>固定专人对接</w:t>
            </w:r>
            <w:r>
              <w:rPr>
                <w:rFonts w:hint="eastAsia" w:ascii="宋体" w:hAnsi="宋体" w:cs="宋体"/>
                <w:color w:val="auto"/>
                <w:sz w:val="21"/>
                <w:szCs w:val="21"/>
                <w:lang w:val="en-US" w:eastAsia="zh-CN"/>
              </w:rPr>
              <w:t>采购人</w:t>
            </w:r>
            <w:r>
              <w:rPr>
                <w:rFonts w:hint="eastAsia" w:ascii="宋体" w:hAnsi="宋体" w:eastAsia="宋体" w:cs="宋体"/>
                <w:color w:val="auto"/>
                <w:sz w:val="21"/>
                <w:szCs w:val="21"/>
                <w:lang w:val="en-US" w:eastAsia="zh-CN"/>
              </w:rPr>
              <w:t>，常态化巡查各点位清运情况，及时收集、响应</w:t>
            </w:r>
            <w:r>
              <w:rPr>
                <w:rFonts w:hint="eastAsia" w:ascii="宋体" w:hAnsi="宋体" w:cs="宋体"/>
                <w:color w:val="auto"/>
                <w:sz w:val="21"/>
                <w:szCs w:val="21"/>
                <w:lang w:val="en-US" w:eastAsia="zh-CN"/>
              </w:rPr>
              <w:t>采购人</w:t>
            </w:r>
            <w:r>
              <w:rPr>
                <w:rFonts w:hint="eastAsia" w:ascii="宋体" w:hAnsi="宋体" w:eastAsia="宋体" w:cs="宋体"/>
                <w:color w:val="auto"/>
                <w:sz w:val="21"/>
                <w:szCs w:val="21"/>
                <w:lang w:val="en-US" w:eastAsia="zh-CN"/>
              </w:rPr>
              <w:t>提出的各类服务反馈。</w:t>
            </w:r>
          </w:p>
          <w:p w14:paraId="1D529CCD">
            <w:pPr>
              <w:spacing w:after="0" w:line="240" w:lineRule="auto"/>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w:t>
            </w:r>
            <w:r>
              <w:rPr>
                <w:rFonts w:hint="eastAsia" w:ascii="宋体" w:hAnsi="宋体" w:cs="宋体"/>
                <w:color w:val="auto"/>
                <w:sz w:val="21"/>
                <w:szCs w:val="21"/>
                <w:lang w:val="en-US" w:eastAsia="zh-CN"/>
              </w:rPr>
              <w:t>.供应商</w:t>
            </w:r>
            <w:r>
              <w:rPr>
                <w:rFonts w:hint="eastAsia" w:ascii="宋体" w:hAnsi="宋体" w:eastAsia="宋体" w:cs="宋体"/>
                <w:color w:val="auto"/>
                <w:sz w:val="21"/>
                <w:szCs w:val="21"/>
                <w:lang w:val="en-US" w:eastAsia="zh-CN"/>
              </w:rPr>
              <w:t>作业全过程落实安全生产管理，遵守</w:t>
            </w:r>
            <w:r>
              <w:rPr>
                <w:rFonts w:hint="eastAsia" w:ascii="宋体" w:hAnsi="宋体" w:cs="宋体"/>
                <w:color w:val="auto"/>
                <w:sz w:val="21"/>
                <w:szCs w:val="21"/>
                <w:lang w:val="en-US" w:eastAsia="zh-CN"/>
              </w:rPr>
              <w:t>采购人</w:t>
            </w:r>
            <w:r>
              <w:rPr>
                <w:rFonts w:hint="eastAsia" w:ascii="宋体" w:hAnsi="宋体" w:eastAsia="宋体" w:cs="宋体"/>
                <w:color w:val="auto"/>
                <w:sz w:val="21"/>
                <w:szCs w:val="21"/>
                <w:lang w:val="en-US" w:eastAsia="zh-CN"/>
              </w:rPr>
              <w:t>场内安全管理制度，规范安全行车；严禁作业人员酒后上岗。</w:t>
            </w:r>
            <w:r>
              <w:rPr>
                <w:rFonts w:hint="eastAsia" w:ascii="宋体" w:hAnsi="宋体" w:cs="宋体"/>
                <w:color w:val="auto"/>
                <w:sz w:val="21"/>
                <w:szCs w:val="21"/>
                <w:lang w:val="en-US" w:eastAsia="zh-CN"/>
              </w:rPr>
              <w:t>供应商</w:t>
            </w:r>
            <w:r>
              <w:rPr>
                <w:rFonts w:hint="eastAsia" w:ascii="宋体" w:hAnsi="宋体" w:eastAsia="宋体" w:cs="宋体"/>
                <w:color w:val="auto"/>
                <w:sz w:val="21"/>
                <w:szCs w:val="21"/>
                <w:lang w:val="en-US" w:eastAsia="zh-CN"/>
              </w:rPr>
              <w:t>人员、车辆在清运作业期间发生人身伤害、财产损失等全部安全事故，责任、赔偿费用均由</w:t>
            </w:r>
            <w:r>
              <w:rPr>
                <w:rFonts w:hint="eastAsia" w:ascii="宋体" w:hAnsi="宋体" w:cs="宋体"/>
                <w:color w:val="auto"/>
                <w:sz w:val="21"/>
                <w:szCs w:val="21"/>
                <w:lang w:val="en-US" w:eastAsia="zh-CN"/>
              </w:rPr>
              <w:t>供应商</w:t>
            </w:r>
            <w:r>
              <w:rPr>
                <w:rFonts w:hint="eastAsia" w:ascii="宋体" w:hAnsi="宋体" w:eastAsia="宋体" w:cs="宋体"/>
                <w:color w:val="auto"/>
                <w:sz w:val="21"/>
                <w:szCs w:val="21"/>
                <w:lang w:val="en-US" w:eastAsia="zh-CN"/>
              </w:rPr>
              <w:t>自行承担，</w:t>
            </w:r>
            <w:r>
              <w:rPr>
                <w:rFonts w:hint="eastAsia" w:ascii="宋体" w:hAnsi="宋体" w:cs="宋体"/>
                <w:color w:val="auto"/>
                <w:sz w:val="21"/>
                <w:szCs w:val="21"/>
                <w:lang w:val="en-US" w:eastAsia="zh-CN"/>
              </w:rPr>
              <w:t>采购人</w:t>
            </w:r>
            <w:r>
              <w:rPr>
                <w:rFonts w:hint="eastAsia" w:ascii="宋体" w:hAnsi="宋体" w:eastAsia="宋体" w:cs="宋体"/>
                <w:color w:val="auto"/>
                <w:sz w:val="21"/>
                <w:szCs w:val="21"/>
                <w:lang w:val="en-US" w:eastAsia="zh-CN"/>
              </w:rPr>
              <w:t>不承担任何连带责任。</w:t>
            </w:r>
          </w:p>
          <w:p w14:paraId="3C8C4833">
            <w:pPr>
              <w:spacing w:after="0" w:line="240" w:lineRule="auto"/>
              <w:jc w:val="both"/>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8.供应商应按照《河北省城乡生活垃圾分类管理条例》的要求，对垃圾进行分类收集、分类运输，不得将已分类垃圾混装混运。</w:t>
            </w:r>
          </w:p>
          <w:p w14:paraId="27B82BF8">
            <w:pPr>
              <w:spacing w:after="0" w:line="240" w:lineRule="auto"/>
              <w:jc w:val="both"/>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9.供应商须为作业人员购买工伤保险和意外伤害保险，为清运车辆购买交强险和商业险，并在合同签订时提供相关保险凭证。</w:t>
            </w:r>
          </w:p>
        </w:tc>
        <w:tc>
          <w:tcPr>
            <w:tcW w:w="250" w:type="pct"/>
            <w:vAlign w:val="center"/>
          </w:tcPr>
          <w:p w14:paraId="0CBC9B8F">
            <w:pPr>
              <w:spacing w:after="0" w:line="240" w:lineRule="auto"/>
              <w:jc w:val="center"/>
              <w:rPr>
                <w:rFonts w:hint="default"/>
                <w:color w:val="auto"/>
                <w:lang w:val="en-US" w:eastAsia="zh-CN"/>
              </w:rPr>
            </w:pPr>
            <w:r>
              <w:rPr>
                <w:rFonts w:hint="eastAsia"/>
                <w:color w:val="auto"/>
                <w:lang w:val="en-US" w:eastAsia="zh-CN"/>
              </w:rPr>
              <w:t>立方米</w:t>
            </w:r>
          </w:p>
        </w:tc>
        <w:tc>
          <w:tcPr>
            <w:tcW w:w="281" w:type="pct"/>
            <w:vAlign w:val="center"/>
          </w:tcPr>
          <w:p w14:paraId="209A205D">
            <w:pPr>
              <w:spacing w:after="0" w:line="240" w:lineRule="auto"/>
              <w:jc w:val="center"/>
              <w:rPr>
                <w:rFonts w:hint="eastAsia"/>
                <w:color w:val="auto"/>
                <w:lang w:val="en-US" w:eastAsia="zh-CN"/>
              </w:rPr>
            </w:pPr>
            <w:r>
              <w:rPr>
                <w:rFonts w:hint="eastAsia"/>
                <w:color w:val="auto"/>
                <w:lang w:val="en-US" w:eastAsia="zh-CN"/>
              </w:rPr>
              <w:t>45609</w:t>
            </w:r>
          </w:p>
        </w:tc>
        <w:tc>
          <w:tcPr>
            <w:tcW w:w="450" w:type="pct"/>
            <w:vAlign w:val="center"/>
          </w:tcPr>
          <w:p w14:paraId="5F3ADF5C">
            <w:pPr>
              <w:spacing w:after="0" w:line="240" w:lineRule="auto"/>
              <w:jc w:val="center"/>
              <w:rPr>
                <w:rFonts w:hint="default"/>
                <w:color w:val="auto"/>
                <w:lang w:val="en-US" w:eastAsia="zh-CN"/>
              </w:rPr>
            </w:pPr>
          </w:p>
        </w:tc>
        <w:tc>
          <w:tcPr>
            <w:tcW w:w="425" w:type="pct"/>
            <w:vAlign w:val="center"/>
          </w:tcPr>
          <w:p w14:paraId="7E16AE9F">
            <w:pPr>
              <w:spacing w:after="0" w:line="240" w:lineRule="auto"/>
              <w:jc w:val="both"/>
              <w:rPr>
                <w:rFonts w:hint="eastAsia"/>
                <w:color w:val="auto"/>
                <w:lang w:val="en-US" w:eastAsia="zh-CN"/>
              </w:rPr>
            </w:pPr>
          </w:p>
        </w:tc>
      </w:tr>
      <w:tr w14:paraId="49A1C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5" w:hRule="atLeast"/>
          <w:jc w:val="center"/>
        </w:trPr>
        <w:tc>
          <w:tcPr>
            <w:tcW w:w="224" w:type="pct"/>
            <w:vAlign w:val="center"/>
          </w:tcPr>
          <w:p w14:paraId="28E6F481">
            <w:pPr>
              <w:spacing w:after="0" w:line="240" w:lineRule="auto"/>
              <w:jc w:val="both"/>
              <w:rPr>
                <w:rFonts w:hint="default"/>
                <w:color w:val="auto"/>
                <w:lang w:val="en-US" w:eastAsia="zh-CN"/>
              </w:rPr>
            </w:pPr>
            <w:r>
              <w:rPr>
                <w:rFonts w:hint="eastAsia"/>
                <w:color w:val="auto"/>
                <w:lang w:val="en-US" w:eastAsia="zh-CN"/>
              </w:rPr>
              <w:t>6</w:t>
            </w:r>
          </w:p>
        </w:tc>
        <w:tc>
          <w:tcPr>
            <w:tcW w:w="492" w:type="pct"/>
            <w:vAlign w:val="center"/>
          </w:tcPr>
          <w:p w14:paraId="2571EA4F">
            <w:pPr>
              <w:spacing w:after="0" w:line="240" w:lineRule="auto"/>
              <w:jc w:val="both"/>
              <w:rPr>
                <w:rFonts w:hint="default"/>
                <w:color w:val="auto"/>
                <w:lang w:val="en-US" w:eastAsia="zh-CN"/>
              </w:rPr>
            </w:pPr>
            <w:r>
              <w:rPr>
                <w:rFonts w:hint="eastAsia"/>
                <w:color w:val="auto"/>
                <w:lang w:val="en-US" w:eastAsia="zh-CN"/>
              </w:rPr>
              <w:t>厕所化粪池清理</w:t>
            </w:r>
          </w:p>
        </w:tc>
        <w:tc>
          <w:tcPr>
            <w:tcW w:w="2876" w:type="pct"/>
          </w:tcPr>
          <w:p w14:paraId="69DC526B">
            <w:pPr>
              <w:spacing w:before="20" w:after="20" w:line="300" w:lineRule="exact"/>
              <w:rPr>
                <w:rFonts w:hint="eastAsia" w:ascii="宋体" w:hAnsi="宋体" w:eastAsia="宋体" w:cs="宋体"/>
                <w:color w:val="auto"/>
                <w:sz w:val="21"/>
                <w:szCs w:val="21"/>
              </w:rPr>
            </w:pPr>
            <w:r>
              <w:rPr>
                <w:rFonts w:hint="eastAsia" w:ascii="宋体" w:hAnsi="宋体" w:eastAsia="宋体" w:cs="宋体"/>
                <w:b/>
                <w:color w:val="auto"/>
                <w:sz w:val="21"/>
                <w:szCs w:val="21"/>
              </w:rPr>
              <w:t>一、服务内容</w:t>
            </w:r>
          </w:p>
          <w:p w14:paraId="237D2B83">
            <w:pPr>
              <w:spacing w:before="20" w:after="20" w:line="300" w:lineRule="exac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石家庄市城市水系园林中心管辖范围内的沿线区域及公园提供化粪池的清掏、运输及无害化处理服务，包括清掏后的现场消毒、除臭及环境卫生恢复。</w:t>
            </w:r>
          </w:p>
          <w:p w14:paraId="57FB130D">
            <w:pPr>
              <w:spacing w:before="20" w:after="20" w:line="30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因</w:t>
            </w:r>
            <w:r>
              <w:rPr>
                <w:rFonts w:hint="eastAsia" w:ascii="宋体" w:hAnsi="宋体" w:eastAsia="宋体" w:cs="宋体"/>
                <w:color w:val="auto"/>
                <w:sz w:val="21"/>
                <w:szCs w:val="21"/>
                <w:lang w:val="en-US" w:eastAsia="zh-CN"/>
              </w:rPr>
              <w:t>工作</w:t>
            </w:r>
            <w:r>
              <w:rPr>
                <w:rFonts w:hint="eastAsia" w:ascii="宋体" w:hAnsi="宋体" w:eastAsia="宋体" w:cs="宋体"/>
                <w:color w:val="auto"/>
                <w:sz w:val="21"/>
                <w:szCs w:val="21"/>
              </w:rPr>
              <w:t>实际需要，采购人临时交办的与本项服务内容相关的辅助性服务</w:t>
            </w:r>
            <w:r>
              <w:rPr>
                <w:rFonts w:hint="eastAsia" w:ascii="宋体" w:hAnsi="宋体" w:eastAsia="宋体" w:cs="宋体"/>
                <w:color w:val="auto"/>
                <w:sz w:val="21"/>
                <w:szCs w:val="21"/>
                <w:lang w:val="en-US" w:eastAsia="zh-CN"/>
              </w:rPr>
              <w:t>。</w:t>
            </w:r>
          </w:p>
          <w:p w14:paraId="07FC465F">
            <w:pPr>
              <w:spacing w:before="20" w:after="20" w:line="300" w:lineRule="exact"/>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二、服务范围</w:t>
            </w:r>
          </w:p>
          <w:p w14:paraId="4C7A12FB">
            <w:pPr>
              <w:spacing w:before="20" w:after="20" w:line="30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太平河沿线、环城水系沿线、民心河沿线、秀水公园、卧虎山公园、世纪公园、胜利公园、天山公园等所管辖区域</w:t>
            </w:r>
          </w:p>
          <w:p w14:paraId="6D92C254">
            <w:pPr>
              <w:spacing w:before="20" w:after="20" w:line="300" w:lineRule="exact"/>
              <w:rPr>
                <w:rFonts w:hint="eastAsia" w:ascii="宋体" w:hAnsi="宋体" w:eastAsia="宋体" w:cs="宋体"/>
                <w:b/>
                <w:color w:val="auto"/>
                <w:sz w:val="21"/>
                <w:szCs w:val="21"/>
                <w:lang w:val="en-US" w:eastAsia="zh-CN"/>
              </w:rPr>
            </w:pPr>
            <w:r>
              <w:rPr>
                <w:rFonts w:hint="eastAsia" w:ascii="宋体" w:hAnsi="宋体" w:cs="宋体"/>
                <w:b/>
                <w:color w:val="auto"/>
                <w:sz w:val="21"/>
                <w:szCs w:val="21"/>
                <w:lang w:val="en-US" w:eastAsia="zh-CN"/>
              </w:rPr>
              <w:t>三</w:t>
            </w:r>
            <w:r>
              <w:rPr>
                <w:rFonts w:hint="eastAsia" w:ascii="宋体" w:hAnsi="宋体" w:eastAsia="宋体" w:cs="宋体"/>
                <w:b/>
                <w:color w:val="auto"/>
                <w:sz w:val="21"/>
                <w:szCs w:val="21"/>
              </w:rPr>
              <w:t>、</w:t>
            </w:r>
            <w:r>
              <w:rPr>
                <w:rFonts w:hint="eastAsia" w:ascii="宋体" w:hAnsi="宋体" w:eastAsia="宋体" w:cs="宋体"/>
                <w:b/>
                <w:color w:val="auto"/>
                <w:sz w:val="21"/>
                <w:szCs w:val="21"/>
                <w:lang w:val="en-US" w:eastAsia="zh-CN"/>
              </w:rPr>
              <w:t>服务要求</w:t>
            </w:r>
          </w:p>
          <w:p w14:paraId="6679D6A9">
            <w:pPr>
              <w:spacing w:after="0" w:line="240" w:lineRule="auto"/>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r>
              <w:rPr>
                <w:rFonts w:hint="eastAsia" w:ascii="宋体" w:hAnsi="宋体" w:cs="宋体"/>
                <w:color w:val="auto"/>
                <w:sz w:val="21"/>
                <w:szCs w:val="21"/>
                <w:lang w:val="en-US" w:eastAsia="zh-CN"/>
              </w:rPr>
              <w:t>.供应商</w:t>
            </w:r>
            <w:r>
              <w:rPr>
                <w:rFonts w:hint="eastAsia" w:ascii="宋体" w:hAnsi="宋体" w:eastAsia="宋体" w:cs="宋体"/>
                <w:color w:val="auto"/>
                <w:sz w:val="21"/>
                <w:szCs w:val="21"/>
                <w:lang w:val="en-US" w:eastAsia="zh-CN"/>
              </w:rPr>
              <w:t>须保质、保量、按时完成全部清运服务，清掏出的粪污不得随意排放，必须运送至指定的污水处理厂、粪便处理厂或无害化处理机构进行合规处置。严禁将粪污排入雨水管网、河道、荒地或非指定地点</w:t>
            </w:r>
            <w:r>
              <w:rPr>
                <w:rFonts w:hint="eastAsia" w:ascii="宋体" w:hAnsi="宋体" w:cs="宋体"/>
                <w:color w:val="auto"/>
                <w:sz w:val="21"/>
                <w:szCs w:val="21"/>
                <w:lang w:val="en-US" w:eastAsia="zh-CN"/>
              </w:rPr>
              <w:t>。</w:t>
            </w:r>
            <w:r>
              <w:rPr>
                <w:rFonts w:hint="eastAsia" w:ascii="宋体" w:hAnsi="宋体" w:eastAsia="宋体" w:cs="宋体"/>
                <w:color w:val="auto"/>
                <w:sz w:val="21"/>
                <w:szCs w:val="21"/>
                <w:lang w:val="en-US" w:eastAsia="zh-CN"/>
              </w:rPr>
              <w:t>若因</w:t>
            </w:r>
            <w:r>
              <w:rPr>
                <w:rFonts w:hint="eastAsia" w:ascii="宋体" w:hAnsi="宋体" w:cs="宋体"/>
                <w:color w:val="auto"/>
                <w:sz w:val="21"/>
                <w:szCs w:val="21"/>
                <w:lang w:val="en-US" w:eastAsia="zh-CN"/>
              </w:rPr>
              <w:t>供应商</w:t>
            </w:r>
            <w:r>
              <w:rPr>
                <w:rFonts w:hint="eastAsia" w:ascii="宋体" w:hAnsi="宋体" w:eastAsia="宋体" w:cs="宋体"/>
                <w:color w:val="auto"/>
                <w:sz w:val="21"/>
                <w:szCs w:val="21"/>
                <w:lang w:val="en-US" w:eastAsia="zh-CN"/>
              </w:rPr>
              <w:t>违规倾倒造成</w:t>
            </w:r>
            <w:r>
              <w:rPr>
                <w:rFonts w:hint="eastAsia" w:ascii="宋体" w:hAnsi="宋体" w:cs="宋体"/>
                <w:color w:val="auto"/>
                <w:sz w:val="21"/>
                <w:szCs w:val="21"/>
                <w:lang w:val="en-US" w:eastAsia="zh-CN"/>
              </w:rPr>
              <w:t>采购人</w:t>
            </w:r>
            <w:r>
              <w:rPr>
                <w:rFonts w:hint="eastAsia" w:ascii="宋体" w:hAnsi="宋体" w:eastAsia="宋体" w:cs="宋体"/>
                <w:color w:val="auto"/>
                <w:sz w:val="21"/>
                <w:szCs w:val="21"/>
                <w:lang w:val="en-US" w:eastAsia="zh-CN"/>
              </w:rPr>
              <w:t>被行政主管部门处罚、第三方索赔的，全部罚款、赔偿款项、维权成本均由</w:t>
            </w:r>
            <w:r>
              <w:rPr>
                <w:rFonts w:hint="eastAsia" w:ascii="宋体" w:hAnsi="宋体" w:cs="宋体"/>
                <w:color w:val="auto"/>
                <w:sz w:val="21"/>
                <w:szCs w:val="21"/>
                <w:lang w:val="en-US" w:eastAsia="zh-CN"/>
              </w:rPr>
              <w:t>供应商</w:t>
            </w:r>
            <w:r>
              <w:rPr>
                <w:rFonts w:hint="eastAsia" w:ascii="宋体" w:hAnsi="宋体" w:eastAsia="宋体" w:cs="宋体"/>
                <w:color w:val="auto"/>
                <w:sz w:val="21"/>
                <w:szCs w:val="21"/>
                <w:lang w:val="en-US" w:eastAsia="zh-CN"/>
              </w:rPr>
              <w:t>全额承担。</w:t>
            </w:r>
          </w:p>
          <w:p w14:paraId="63E368E8">
            <w:pPr>
              <w:spacing w:after="0" w:line="240" w:lineRule="auto"/>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r>
              <w:rPr>
                <w:rFonts w:hint="eastAsia" w:ascii="宋体" w:hAnsi="宋体" w:cs="宋体"/>
                <w:color w:val="auto"/>
                <w:sz w:val="21"/>
                <w:szCs w:val="21"/>
                <w:lang w:val="en-US" w:eastAsia="zh-CN"/>
              </w:rPr>
              <w:t>.</w:t>
            </w:r>
            <w:r>
              <w:rPr>
                <w:rFonts w:hint="eastAsia" w:ascii="宋体" w:hAnsi="宋体" w:eastAsia="宋体" w:cs="宋体"/>
                <w:color w:val="auto"/>
                <w:sz w:val="21"/>
                <w:szCs w:val="21"/>
                <w:lang w:val="en-US" w:eastAsia="zh-CN"/>
              </w:rPr>
              <w:t>化粪池粪渣、粪水必须使用全密闭的专用吸污车或罐式运输车，严禁使用敞开式罐体或普通货车加装简易罐体。车辆应具备防渗漏、防遗撒、防异味扩散的功能，罐体需定期检测密封性与耐腐蚀性。车容应保持整洁，罐体外部无粪迹污物，吸（出）粪口无污垢、无明显臭味逸散。</w:t>
            </w:r>
          </w:p>
          <w:p w14:paraId="551AE8EC">
            <w:pPr>
              <w:spacing w:after="0" w:line="240" w:lineRule="auto"/>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r>
              <w:rPr>
                <w:rFonts w:hint="eastAsia" w:ascii="宋体" w:hAnsi="宋体" w:cs="宋体"/>
                <w:color w:val="auto"/>
                <w:sz w:val="21"/>
                <w:szCs w:val="21"/>
                <w:lang w:val="en-US" w:eastAsia="zh-CN"/>
              </w:rPr>
              <w:t>.供应商</w:t>
            </w:r>
            <w:r>
              <w:rPr>
                <w:rFonts w:hint="eastAsia" w:ascii="宋体" w:hAnsi="宋体" w:eastAsia="宋体" w:cs="宋体"/>
                <w:color w:val="auto"/>
                <w:sz w:val="21"/>
                <w:szCs w:val="21"/>
                <w:lang w:val="en-US" w:eastAsia="zh-CN"/>
              </w:rPr>
              <w:t>未按约定时限完成清运作业的，</w:t>
            </w:r>
            <w:r>
              <w:rPr>
                <w:rFonts w:hint="eastAsia" w:ascii="宋体" w:hAnsi="宋体" w:cs="宋体"/>
                <w:color w:val="auto"/>
                <w:sz w:val="21"/>
                <w:szCs w:val="21"/>
                <w:lang w:val="en-US" w:eastAsia="zh-CN"/>
              </w:rPr>
              <w:t>采购人</w:t>
            </w:r>
            <w:r>
              <w:rPr>
                <w:rFonts w:hint="eastAsia" w:ascii="宋体" w:hAnsi="宋体" w:eastAsia="宋体" w:cs="宋体"/>
                <w:color w:val="auto"/>
                <w:sz w:val="21"/>
                <w:szCs w:val="21"/>
                <w:lang w:val="en-US" w:eastAsia="zh-CN"/>
              </w:rPr>
              <w:t>通知整改后，</w:t>
            </w:r>
            <w:r>
              <w:rPr>
                <w:rFonts w:hint="eastAsia" w:ascii="宋体" w:hAnsi="宋体" w:cs="宋体"/>
                <w:color w:val="auto"/>
                <w:sz w:val="21"/>
                <w:szCs w:val="21"/>
                <w:lang w:val="en-US" w:eastAsia="zh-CN"/>
              </w:rPr>
              <w:t>供应商</w:t>
            </w:r>
            <w:r>
              <w:rPr>
                <w:rFonts w:hint="eastAsia" w:ascii="宋体" w:hAnsi="宋体" w:eastAsia="宋体" w:cs="宋体"/>
                <w:color w:val="auto"/>
                <w:sz w:val="21"/>
                <w:szCs w:val="21"/>
                <w:lang w:val="en-US" w:eastAsia="zh-CN"/>
              </w:rPr>
              <w:t>须立即安排工作人员抵达现场核查处置，及时完成清运。</w:t>
            </w:r>
          </w:p>
          <w:p w14:paraId="1A27B2D8">
            <w:pPr>
              <w:spacing w:after="0" w:line="240" w:lineRule="auto"/>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r>
              <w:rPr>
                <w:rFonts w:hint="eastAsia" w:ascii="宋体" w:hAnsi="宋体" w:cs="宋体"/>
                <w:color w:val="auto"/>
                <w:sz w:val="21"/>
                <w:szCs w:val="21"/>
                <w:lang w:val="en-US" w:eastAsia="zh-CN"/>
              </w:rPr>
              <w:t>.</w:t>
            </w:r>
            <w:r>
              <w:rPr>
                <w:rFonts w:hint="eastAsia" w:ascii="宋体" w:hAnsi="宋体" w:eastAsia="宋体" w:cs="宋体"/>
                <w:color w:val="auto"/>
                <w:sz w:val="21"/>
                <w:szCs w:val="21"/>
                <w:lang w:val="en-US" w:eastAsia="zh-CN"/>
              </w:rPr>
              <w:t>清运作业过程中，</w:t>
            </w:r>
            <w:r>
              <w:rPr>
                <w:rFonts w:hint="eastAsia" w:ascii="宋体" w:hAnsi="宋体" w:cs="宋体"/>
                <w:color w:val="auto"/>
                <w:sz w:val="21"/>
                <w:szCs w:val="21"/>
                <w:lang w:val="en-US" w:eastAsia="zh-CN"/>
              </w:rPr>
              <w:t>供应商</w:t>
            </w:r>
            <w:r>
              <w:rPr>
                <w:rFonts w:hint="eastAsia" w:ascii="宋体" w:hAnsi="宋体" w:eastAsia="宋体" w:cs="宋体"/>
                <w:color w:val="auto"/>
                <w:sz w:val="21"/>
                <w:szCs w:val="21"/>
                <w:lang w:val="en-US" w:eastAsia="zh-CN"/>
              </w:rPr>
              <w:t>车辆、人员造成</w:t>
            </w:r>
            <w:r>
              <w:rPr>
                <w:rFonts w:hint="eastAsia" w:ascii="宋体" w:hAnsi="宋体" w:cs="宋体"/>
                <w:color w:val="auto"/>
                <w:sz w:val="21"/>
                <w:szCs w:val="21"/>
                <w:lang w:val="en-US" w:eastAsia="zh-CN"/>
              </w:rPr>
              <w:t>采购人</w:t>
            </w:r>
            <w:r>
              <w:rPr>
                <w:rFonts w:hint="eastAsia" w:ascii="宋体" w:hAnsi="宋体" w:eastAsia="宋体" w:cs="宋体"/>
                <w:color w:val="auto"/>
                <w:sz w:val="21"/>
                <w:szCs w:val="21"/>
                <w:lang w:val="en-US" w:eastAsia="zh-CN"/>
              </w:rPr>
              <w:t>园区设施、市政公共设施损坏的，</w:t>
            </w:r>
            <w:r>
              <w:rPr>
                <w:rFonts w:hint="eastAsia" w:ascii="宋体" w:hAnsi="宋体" w:cs="宋体"/>
                <w:color w:val="auto"/>
                <w:sz w:val="21"/>
                <w:szCs w:val="21"/>
                <w:lang w:val="en-US" w:eastAsia="zh-CN"/>
              </w:rPr>
              <w:t>供应商</w:t>
            </w:r>
            <w:r>
              <w:rPr>
                <w:rFonts w:hint="eastAsia" w:ascii="宋体" w:hAnsi="宋体" w:eastAsia="宋体" w:cs="宋体"/>
                <w:color w:val="auto"/>
                <w:sz w:val="21"/>
                <w:szCs w:val="21"/>
                <w:lang w:val="en-US" w:eastAsia="zh-CN"/>
              </w:rPr>
              <w:t>按设施实际购置、维修价格全额赔偿。</w:t>
            </w:r>
          </w:p>
          <w:p w14:paraId="3E200142">
            <w:pPr>
              <w:spacing w:after="0" w:line="240" w:lineRule="auto"/>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r>
              <w:rPr>
                <w:rFonts w:hint="eastAsia" w:ascii="宋体" w:hAnsi="宋体" w:cs="宋体"/>
                <w:color w:val="auto"/>
                <w:sz w:val="21"/>
                <w:szCs w:val="21"/>
                <w:lang w:val="en-US" w:eastAsia="zh-CN"/>
              </w:rPr>
              <w:t>.供应商</w:t>
            </w:r>
            <w:r>
              <w:rPr>
                <w:rFonts w:hint="eastAsia" w:ascii="宋体" w:hAnsi="宋体" w:eastAsia="宋体" w:cs="宋体"/>
                <w:color w:val="auto"/>
                <w:sz w:val="21"/>
                <w:szCs w:val="21"/>
                <w:lang w:val="en-US" w:eastAsia="zh-CN"/>
              </w:rPr>
              <w:t>须无条件接受</w:t>
            </w:r>
            <w:r>
              <w:rPr>
                <w:rFonts w:hint="eastAsia" w:ascii="宋体" w:hAnsi="宋体" w:cs="宋体"/>
                <w:color w:val="auto"/>
                <w:sz w:val="21"/>
                <w:szCs w:val="21"/>
                <w:lang w:val="en-US" w:eastAsia="zh-CN"/>
              </w:rPr>
              <w:t>采购人</w:t>
            </w:r>
            <w:r>
              <w:rPr>
                <w:rFonts w:hint="eastAsia" w:ascii="宋体" w:hAnsi="宋体" w:eastAsia="宋体" w:cs="宋体"/>
                <w:color w:val="auto"/>
                <w:sz w:val="21"/>
                <w:szCs w:val="21"/>
                <w:lang w:val="en-US" w:eastAsia="zh-CN"/>
              </w:rPr>
              <w:t>日常巡查、突击检查及各类整改指令，按要求限时整改到位。</w:t>
            </w:r>
          </w:p>
          <w:p w14:paraId="3469C1C0">
            <w:pPr>
              <w:spacing w:after="0" w:line="240" w:lineRule="auto"/>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w:t>
            </w:r>
            <w:r>
              <w:rPr>
                <w:rFonts w:hint="eastAsia" w:ascii="宋体" w:hAnsi="宋体" w:cs="宋体"/>
                <w:color w:val="auto"/>
                <w:sz w:val="21"/>
                <w:szCs w:val="21"/>
                <w:lang w:val="en-US" w:eastAsia="zh-CN"/>
              </w:rPr>
              <w:t>.供应商</w:t>
            </w:r>
            <w:r>
              <w:rPr>
                <w:rFonts w:hint="eastAsia" w:ascii="宋体" w:hAnsi="宋体" w:eastAsia="宋体" w:cs="宋体"/>
                <w:color w:val="auto"/>
                <w:sz w:val="21"/>
                <w:szCs w:val="21"/>
                <w:lang w:val="en-US" w:eastAsia="zh-CN"/>
              </w:rPr>
              <w:t>固定专人对接</w:t>
            </w:r>
            <w:r>
              <w:rPr>
                <w:rFonts w:hint="eastAsia" w:ascii="宋体" w:hAnsi="宋体" w:cs="宋体"/>
                <w:color w:val="auto"/>
                <w:sz w:val="21"/>
                <w:szCs w:val="21"/>
                <w:lang w:val="en-US" w:eastAsia="zh-CN"/>
              </w:rPr>
              <w:t>采购人</w:t>
            </w:r>
            <w:r>
              <w:rPr>
                <w:rFonts w:hint="eastAsia" w:ascii="宋体" w:hAnsi="宋体" w:eastAsia="宋体" w:cs="宋体"/>
                <w:color w:val="auto"/>
                <w:sz w:val="21"/>
                <w:szCs w:val="21"/>
                <w:lang w:val="en-US" w:eastAsia="zh-CN"/>
              </w:rPr>
              <w:t>，常态化巡查各点位清运情况，及时收集、响应</w:t>
            </w:r>
            <w:r>
              <w:rPr>
                <w:rFonts w:hint="eastAsia" w:ascii="宋体" w:hAnsi="宋体" w:cs="宋体"/>
                <w:color w:val="auto"/>
                <w:sz w:val="21"/>
                <w:szCs w:val="21"/>
                <w:lang w:val="en-US" w:eastAsia="zh-CN"/>
              </w:rPr>
              <w:t>采购人</w:t>
            </w:r>
            <w:r>
              <w:rPr>
                <w:rFonts w:hint="eastAsia" w:ascii="宋体" w:hAnsi="宋体" w:eastAsia="宋体" w:cs="宋体"/>
                <w:color w:val="auto"/>
                <w:sz w:val="21"/>
                <w:szCs w:val="21"/>
                <w:lang w:val="en-US" w:eastAsia="zh-CN"/>
              </w:rPr>
              <w:t>提出的各类服务反馈。</w:t>
            </w:r>
          </w:p>
          <w:p w14:paraId="346C31AB">
            <w:pPr>
              <w:spacing w:after="0" w:line="240" w:lineRule="auto"/>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w:t>
            </w:r>
            <w:r>
              <w:rPr>
                <w:rFonts w:hint="eastAsia" w:ascii="宋体" w:hAnsi="宋体" w:cs="宋体"/>
                <w:color w:val="auto"/>
                <w:sz w:val="21"/>
                <w:szCs w:val="21"/>
                <w:lang w:val="en-US" w:eastAsia="zh-CN"/>
              </w:rPr>
              <w:t>.供应商</w:t>
            </w:r>
            <w:r>
              <w:rPr>
                <w:rFonts w:hint="eastAsia" w:ascii="宋体" w:hAnsi="宋体" w:eastAsia="宋体" w:cs="宋体"/>
                <w:color w:val="auto"/>
                <w:sz w:val="21"/>
                <w:szCs w:val="21"/>
                <w:lang w:val="en-US" w:eastAsia="zh-CN"/>
              </w:rPr>
              <w:t>作业全过程落实安全生产管理，遵守</w:t>
            </w:r>
            <w:r>
              <w:rPr>
                <w:rFonts w:hint="eastAsia" w:ascii="宋体" w:hAnsi="宋体" w:cs="宋体"/>
                <w:color w:val="auto"/>
                <w:sz w:val="21"/>
                <w:szCs w:val="21"/>
                <w:lang w:val="en-US" w:eastAsia="zh-CN"/>
              </w:rPr>
              <w:t>采购人</w:t>
            </w:r>
            <w:r>
              <w:rPr>
                <w:rFonts w:hint="eastAsia" w:ascii="宋体" w:hAnsi="宋体" w:eastAsia="宋体" w:cs="宋体"/>
                <w:color w:val="auto"/>
                <w:sz w:val="21"/>
                <w:szCs w:val="21"/>
                <w:lang w:val="en-US" w:eastAsia="zh-CN"/>
              </w:rPr>
              <w:t>场内安全管理制度，规范安全行车；严禁作业人员酒后上岗。</w:t>
            </w:r>
            <w:r>
              <w:rPr>
                <w:rFonts w:hint="eastAsia" w:ascii="宋体" w:hAnsi="宋体" w:cs="宋体"/>
                <w:color w:val="auto"/>
                <w:sz w:val="21"/>
                <w:szCs w:val="21"/>
                <w:lang w:val="en-US" w:eastAsia="zh-CN"/>
              </w:rPr>
              <w:t>供应商</w:t>
            </w:r>
            <w:r>
              <w:rPr>
                <w:rFonts w:hint="eastAsia" w:ascii="宋体" w:hAnsi="宋体" w:eastAsia="宋体" w:cs="宋体"/>
                <w:color w:val="auto"/>
                <w:sz w:val="21"/>
                <w:szCs w:val="21"/>
                <w:lang w:val="en-US" w:eastAsia="zh-CN"/>
              </w:rPr>
              <w:t>人员、车辆在清运作业期间发生人身伤害、财产损失等全部安全事故，责任、赔偿费用均由</w:t>
            </w:r>
            <w:r>
              <w:rPr>
                <w:rFonts w:hint="eastAsia" w:ascii="宋体" w:hAnsi="宋体" w:cs="宋体"/>
                <w:color w:val="auto"/>
                <w:sz w:val="21"/>
                <w:szCs w:val="21"/>
                <w:lang w:val="en-US" w:eastAsia="zh-CN"/>
              </w:rPr>
              <w:t>供应商</w:t>
            </w:r>
            <w:r>
              <w:rPr>
                <w:rFonts w:hint="eastAsia" w:ascii="宋体" w:hAnsi="宋体" w:eastAsia="宋体" w:cs="宋体"/>
                <w:color w:val="auto"/>
                <w:sz w:val="21"/>
                <w:szCs w:val="21"/>
                <w:lang w:val="en-US" w:eastAsia="zh-CN"/>
              </w:rPr>
              <w:t>自行承担，</w:t>
            </w:r>
            <w:r>
              <w:rPr>
                <w:rFonts w:hint="eastAsia" w:ascii="宋体" w:hAnsi="宋体" w:cs="宋体"/>
                <w:color w:val="auto"/>
                <w:sz w:val="21"/>
                <w:szCs w:val="21"/>
                <w:lang w:val="en-US" w:eastAsia="zh-CN"/>
              </w:rPr>
              <w:t>采购人</w:t>
            </w:r>
            <w:r>
              <w:rPr>
                <w:rFonts w:hint="eastAsia" w:ascii="宋体" w:hAnsi="宋体" w:eastAsia="宋体" w:cs="宋体"/>
                <w:color w:val="auto"/>
                <w:sz w:val="21"/>
                <w:szCs w:val="21"/>
                <w:lang w:val="en-US" w:eastAsia="zh-CN"/>
              </w:rPr>
              <w:t>不承担任何连带责任。</w:t>
            </w:r>
          </w:p>
          <w:p w14:paraId="277024F0">
            <w:pPr>
              <w:spacing w:after="0" w:line="240" w:lineRule="auto"/>
              <w:jc w:val="both"/>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8.供应商须为作业人员购买工伤保险和意外伤害保险，为清运车辆购买交强险和商业险，并在合同签订时提供相关保险凭证。</w:t>
            </w:r>
          </w:p>
        </w:tc>
        <w:tc>
          <w:tcPr>
            <w:tcW w:w="250" w:type="pct"/>
            <w:vAlign w:val="center"/>
          </w:tcPr>
          <w:p w14:paraId="0E403111">
            <w:pPr>
              <w:spacing w:after="0" w:line="240" w:lineRule="auto"/>
              <w:jc w:val="center"/>
              <w:rPr>
                <w:rFonts w:hint="default"/>
                <w:color w:val="auto"/>
                <w:lang w:val="en-US" w:eastAsia="zh-CN"/>
              </w:rPr>
            </w:pPr>
            <w:r>
              <w:rPr>
                <w:rFonts w:hint="eastAsia"/>
                <w:color w:val="auto"/>
                <w:lang w:val="en-US" w:eastAsia="zh-CN"/>
              </w:rPr>
              <w:t>车次（6方/车）</w:t>
            </w:r>
          </w:p>
        </w:tc>
        <w:tc>
          <w:tcPr>
            <w:tcW w:w="281" w:type="pct"/>
            <w:vAlign w:val="center"/>
          </w:tcPr>
          <w:p w14:paraId="4E2F8CA2">
            <w:pPr>
              <w:spacing w:after="0" w:line="240" w:lineRule="auto"/>
              <w:jc w:val="center"/>
              <w:rPr>
                <w:rFonts w:hint="default"/>
                <w:color w:val="auto"/>
                <w:lang w:val="en-US" w:eastAsia="zh-CN"/>
              </w:rPr>
            </w:pPr>
            <w:r>
              <w:rPr>
                <w:rFonts w:hint="eastAsia"/>
                <w:color w:val="auto"/>
                <w:lang w:val="en-US" w:eastAsia="zh-CN"/>
              </w:rPr>
              <w:t>1262</w:t>
            </w:r>
          </w:p>
        </w:tc>
        <w:tc>
          <w:tcPr>
            <w:tcW w:w="450" w:type="pct"/>
            <w:vAlign w:val="center"/>
          </w:tcPr>
          <w:p w14:paraId="1BA5824E">
            <w:pPr>
              <w:spacing w:after="0" w:line="240" w:lineRule="auto"/>
              <w:jc w:val="center"/>
              <w:rPr>
                <w:rFonts w:hint="default"/>
                <w:color w:val="auto"/>
                <w:sz w:val="21"/>
                <w:lang w:val="en-US" w:eastAsia="zh-CN"/>
              </w:rPr>
            </w:pPr>
          </w:p>
        </w:tc>
        <w:tc>
          <w:tcPr>
            <w:tcW w:w="425" w:type="pct"/>
            <w:vAlign w:val="center"/>
          </w:tcPr>
          <w:p w14:paraId="07BE269E">
            <w:pPr>
              <w:spacing w:after="0" w:line="240" w:lineRule="auto"/>
              <w:jc w:val="both"/>
              <w:rPr>
                <w:rFonts w:hint="eastAsia"/>
                <w:color w:val="auto"/>
                <w:lang w:val="en-US" w:eastAsia="zh-CN"/>
              </w:rPr>
            </w:pPr>
          </w:p>
        </w:tc>
      </w:tr>
      <w:tr w14:paraId="01C50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224" w:type="pct"/>
            <w:vAlign w:val="center"/>
          </w:tcPr>
          <w:p w14:paraId="2688DCB6">
            <w:pPr>
              <w:spacing w:after="0" w:line="240" w:lineRule="auto"/>
              <w:jc w:val="both"/>
              <w:rPr>
                <w:rFonts w:hint="default"/>
                <w:color w:val="auto"/>
                <w:lang w:val="en-US" w:eastAsia="zh-CN"/>
              </w:rPr>
            </w:pPr>
            <w:r>
              <w:rPr>
                <w:rFonts w:hint="eastAsia"/>
                <w:color w:val="auto"/>
                <w:lang w:val="en-US" w:eastAsia="zh-CN"/>
              </w:rPr>
              <w:t>7</w:t>
            </w:r>
          </w:p>
        </w:tc>
        <w:tc>
          <w:tcPr>
            <w:tcW w:w="3368" w:type="pct"/>
            <w:gridSpan w:val="2"/>
            <w:vAlign w:val="center"/>
          </w:tcPr>
          <w:p w14:paraId="406A971B">
            <w:pPr>
              <w:tabs>
                <w:tab w:val="left" w:pos="5680"/>
              </w:tabs>
              <w:spacing w:after="0" w:line="240" w:lineRule="auto"/>
              <w:jc w:val="both"/>
              <w:rPr>
                <w:rFonts w:hint="default"/>
                <w:color w:val="auto"/>
                <w:lang w:val="en-US" w:eastAsia="zh-CN"/>
              </w:rPr>
            </w:pPr>
            <w:r>
              <w:rPr>
                <w:rFonts w:hint="eastAsia"/>
                <w:color w:val="auto"/>
                <w:lang w:val="en-US" w:eastAsia="zh-CN"/>
              </w:rPr>
              <w:tab/>
            </w:r>
            <w:r>
              <w:rPr>
                <w:rFonts w:hint="eastAsia"/>
                <w:color w:val="auto"/>
                <w:lang w:val="en-US" w:eastAsia="zh-CN"/>
              </w:rPr>
              <w:t>合计</w:t>
            </w:r>
          </w:p>
        </w:tc>
        <w:tc>
          <w:tcPr>
            <w:tcW w:w="1406" w:type="pct"/>
            <w:gridSpan w:val="4"/>
            <w:vAlign w:val="center"/>
          </w:tcPr>
          <w:p w14:paraId="3F18AEC1">
            <w:pPr>
              <w:spacing w:after="0" w:line="240" w:lineRule="auto"/>
              <w:jc w:val="center"/>
              <w:rPr>
                <w:rFonts w:hint="eastAsia"/>
                <w:color w:val="auto"/>
                <w:lang w:val="en-US" w:eastAsia="zh-CN"/>
              </w:rPr>
            </w:pPr>
          </w:p>
        </w:tc>
      </w:tr>
    </w:tbl>
    <w:p w14:paraId="2857FC18">
      <w:pPr>
        <w:keepNext w:val="0"/>
        <w:keepLines w:val="0"/>
        <w:pageBreakBefore w:val="0"/>
        <w:widowControl w:val="0"/>
        <w:kinsoku/>
        <w:wordWrap/>
        <w:overflowPunct/>
        <w:topLinePunct w:val="0"/>
        <w:autoSpaceDE/>
        <w:autoSpaceDN/>
        <w:bidi w:val="0"/>
        <w:adjustRightInd/>
        <w:snapToGrid/>
        <w:spacing w:after="0" w:line="240" w:lineRule="exact"/>
        <w:textAlignment w:val="auto"/>
      </w:pPr>
    </w:p>
    <w:sectPr>
      <w:pgSz w:w="16838" w:h="11906" w:orient="landscape"/>
      <w:pgMar w:top="1134" w:right="1077" w:bottom="850" w:left="107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ambria">
    <w:panose1 w:val="02040503050406030204"/>
    <w:charset w:val="00"/>
    <w:family w:val="auto"/>
    <w:pitch w:val="default"/>
    <w:sig w:usb0="E00006FF" w:usb1="420024FF" w:usb2="02000000" w:usb3="00000000" w:csb0="2000019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4066FDA"/>
    <w:rsid w:val="049279F1"/>
    <w:rsid w:val="095567BF"/>
    <w:rsid w:val="0D020A0B"/>
    <w:rsid w:val="0D8853B5"/>
    <w:rsid w:val="14E235DC"/>
    <w:rsid w:val="1703246C"/>
    <w:rsid w:val="174D31CB"/>
    <w:rsid w:val="1EF23E91"/>
    <w:rsid w:val="245E2574"/>
    <w:rsid w:val="26121868"/>
    <w:rsid w:val="27E533D0"/>
    <w:rsid w:val="29CD4F75"/>
    <w:rsid w:val="2CB73169"/>
    <w:rsid w:val="2DEA7C21"/>
    <w:rsid w:val="3286513A"/>
    <w:rsid w:val="33214207"/>
    <w:rsid w:val="3AE660E7"/>
    <w:rsid w:val="4DE85958"/>
    <w:rsid w:val="4EBA0010"/>
    <w:rsid w:val="4F0357A9"/>
    <w:rsid w:val="54093D2F"/>
    <w:rsid w:val="61DD7682"/>
    <w:rsid w:val="636D66CF"/>
    <w:rsid w:val="676F0F89"/>
    <w:rsid w:val="6FEA46F4"/>
    <w:rsid w:val="77A16ED6"/>
    <w:rsid w:val="79170DF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2369</Words>
  <Characters>2523</Characters>
  <Lines>0</Lines>
  <Paragraphs>0</Paragraphs>
  <TotalTime>1</TotalTime>
  <ScaleCrop>false</ScaleCrop>
  <LinksUpToDate>false</LinksUpToDate>
  <CharactersWithSpaces>2523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KD</cp:lastModifiedBy>
  <cp:lastPrinted>2026-10-30T06:12:00Z</cp:lastPrinted>
  <dcterms:modified xsi:type="dcterms:W3CDTF">2026-10-30T13:37:33Z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eyJoZGlkIjoiMjA4MTQ5MGVkNjQ4OTkwYTc3NmRmZjg5OWE1M2I5OTYiLCJ1c2VySWQiOiIxMDU4NzI1ODAyIn0=</vt:lpwstr>
  </property>
  <property fmtid="{D5CDD505-2E9C-101B-9397-08002B2CF9AE}" pid="3" name="KSOProductBuildVer">
    <vt:lpwstr>2052-12.1.0.29161</vt:lpwstr>
  </property>
  <property fmtid="{D5CDD505-2E9C-101B-9397-08002B2CF9AE}" pid="4" name="ICV">
    <vt:lpwstr>A2246662D69F4FF08DD512417E457D6B_13</vt:lpwstr>
  </property>
</Properties>
</file>